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98" w:rsidRPr="00112098" w:rsidRDefault="00112098" w:rsidP="00112098">
      <w:pPr>
        <w:keepNext/>
        <w:keepLines/>
        <w:spacing w:before="480" w:after="120" w:line="240" w:lineRule="auto"/>
        <w:ind w:left="432" w:hanging="432"/>
        <w:jc w:val="both"/>
        <w:outlineLvl w:val="0"/>
        <w:rPr>
          <w:rFonts w:asciiTheme="majorHAnsi" w:eastAsiaTheme="majorEastAsia" w:hAnsiTheme="majorHAnsi" w:cstheme="majorBidi"/>
          <w:b/>
          <w:bCs/>
          <w:color w:val="365F91" w:themeColor="accent1" w:themeShade="BF"/>
          <w:sz w:val="28"/>
          <w:szCs w:val="28"/>
        </w:rPr>
      </w:pPr>
      <w:bookmarkStart w:id="0" w:name="_Toc492382321"/>
      <w:proofErr w:type="spellStart"/>
      <w:r w:rsidRPr="00112098">
        <w:rPr>
          <w:rFonts w:asciiTheme="majorHAnsi" w:eastAsiaTheme="majorEastAsia" w:hAnsiTheme="majorHAnsi" w:cstheme="majorBidi"/>
          <w:b/>
          <w:bCs/>
          <w:color w:val="365F91" w:themeColor="accent1" w:themeShade="BF"/>
          <w:sz w:val="28"/>
          <w:szCs w:val="28"/>
        </w:rPr>
        <w:t>EnTM</w:t>
      </w:r>
      <w:proofErr w:type="spellEnd"/>
      <w:r w:rsidRPr="00112098">
        <w:rPr>
          <w:rFonts w:asciiTheme="majorHAnsi" w:eastAsiaTheme="majorEastAsia" w:hAnsiTheme="majorHAnsi" w:cstheme="majorBidi"/>
          <w:b/>
          <w:bCs/>
          <w:color w:val="365F91" w:themeColor="accent1" w:themeShade="BF"/>
          <w:sz w:val="28"/>
          <w:szCs w:val="28"/>
        </w:rPr>
        <w:t xml:space="preserve"> - ANNEX I - Reference Projects</w:t>
      </w:r>
      <w:bookmarkEnd w:id="0"/>
    </w:p>
    <w:p w:rsidR="00112098" w:rsidRPr="00112098" w:rsidRDefault="00112098" w:rsidP="00112098">
      <w:pPr>
        <w:spacing w:before="120" w:line="240" w:lineRule="auto"/>
        <w:jc w:val="both"/>
        <w:rPr>
          <w:sz w:val="24"/>
          <w:szCs w:val="24"/>
        </w:rPr>
      </w:pPr>
    </w:p>
    <w:tbl>
      <w:tblPr>
        <w:tblStyle w:val="MediumShading1-Accent1"/>
        <w:tblW w:w="0" w:type="auto"/>
        <w:tblInd w:w="108" w:type="dxa"/>
        <w:tblLayout w:type="fixed"/>
        <w:tblLook w:val="04A0" w:firstRow="1" w:lastRow="0" w:firstColumn="1" w:lastColumn="0" w:noHBand="0" w:noVBand="1"/>
      </w:tblPr>
      <w:tblGrid>
        <w:gridCol w:w="2268"/>
        <w:gridCol w:w="5437"/>
        <w:gridCol w:w="1475"/>
      </w:tblGrid>
      <w:tr w:rsidR="00112098" w:rsidRPr="00112098" w:rsidTr="00112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Project</w:t>
            </w:r>
          </w:p>
        </w:tc>
        <w:tc>
          <w:tcPr>
            <w:tcW w:w="5437" w:type="dxa"/>
          </w:tcPr>
          <w:p w:rsidR="00112098" w:rsidRPr="00112098" w:rsidRDefault="00112098" w:rsidP="00112098">
            <w:pPr>
              <w:spacing w:before="120"/>
              <w:jc w:val="both"/>
              <w:cnfStyle w:val="100000000000" w:firstRow="1" w:lastRow="0" w:firstColumn="0" w:lastColumn="0" w:oddVBand="0" w:evenVBand="0" w:oddHBand="0" w:evenHBand="0" w:firstRowFirstColumn="0" w:firstRowLastColumn="0" w:lastRowFirstColumn="0" w:lastRowLastColumn="0"/>
              <w:rPr>
                <w:rFonts w:cs="Times New Roman"/>
                <w:sz w:val="24"/>
                <w:szCs w:val="24"/>
                <w:lang w:val="en"/>
              </w:rPr>
            </w:pPr>
            <w:r w:rsidRPr="00112098">
              <w:rPr>
                <w:rFonts w:cs="Times New Roman"/>
                <w:sz w:val="24"/>
                <w:szCs w:val="24"/>
                <w:lang w:val="en"/>
              </w:rPr>
              <w:t>Short description</w:t>
            </w:r>
          </w:p>
        </w:tc>
        <w:tc>
          <w:tcPr>
            <w:tcW w:w="1475" w:type="dxa"/>
          </w:tcPr>
          <w:p w:rsidR="00112098" w:rsidRPr="00112098" w:rsidRDefault="00112098" w:rsidP="00112098">
            <w:pPr>
              <w:spacing w:before="120"/>
              <w:jc w:val="both"/>
              <w:cnfStyle w:val="100000000000" w:firstRow="1" w:lastRow="0" w:firstColumn="0" w:lastColumn="0" w:oddVBand="0" w:evenVBand="0" w:oddHBand="0" w:evenHBand="0" w:firstRowFirstColumn="0" w:firstRowLastColumn="0" w:lastRowFirstColumn="0" w:lastRowLastColumn="0"/>
              <w:rPr>
                <w:rFonts w:cs="Times New Roman"/>
                <w:sz w:val="24"/>
                <w:szCs w:val="24"/>
                <w:lang w:val="en"/>
              </w:rPr>
            </w:pPr>
            <w:r w:rsidRPr="00112098">
              <w:rPr>
                <w:rFonts w:cs="Times New Roman"/>
                <w:sz w:val="24"/>
                <w:szCs w:val="24"/>
                <w:lang w:val="en"/>
              </w:rPr>
              <w:t>Status</w:t>
            </w:r>
          </w:p>
        </w:tc>
      </w:tr>
      <w:tr w:rsidR="00112098" w:rsidRPr="00112098" w:rsidTr="00112098">
        <w:trPr>
          <w:cnfStyle w:val="000000100000" w:firstRow="0" w:lastRow="0" w:firstColumn="0" w:lastColumn="0" w:oddVBand="0" w:evenVBand="0" w:oddHBand="1"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rPr>
            </w:pPr>
            <w:r w:rsidRPr="00112098">
              <w:rPr>
                <w:sz w:val="24"/>
                <w:szCs w:val="24"/>
              </w:rPr>
              <w:t>AMQP</w:t>
            </w:r>
          </w:p>
          <w:p w:rsidR="00112098" w:rsidRPr="00112098" w:rsidRDefault="00112098" w:rsidP="00112098">
            <w:pPr>
              <w:rPr>
                <w:sz w:val="24"/>
                <w:szCs w:val="24"/>
              </w:rPr>
            </w:pPr>
            <w:hyperlink r:id="rId7" w:history="1">
              <w:r w:rsidRPr="00112098">
                <w:rPr>
                  <w:color w:val="0000FF" w:themeColor="hyperlink"/>
                  <w:sz w:val="24"/>
                  <w:szCs w:val="24"/>
                  <w:u w:val="single"/>
                </w:rPr>
                <w:t>https://www.amqp.org/</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sz w:val="24"/>
                <w:szCs w:val="24"/>
              </w:rPr>
            </w:pPr>
            <w:r w:rsidRPr="00112098">
              <w:rPr>
                <w:sz w:val="24"/>
                <w:szCs w:val="24"/>
              </w:rPr>
              <w:t>The Advanced Message Queuing Protocol (AMQP) is an open standard for passing business messages between applications or organizations.  It connects systems, feeds business processes with the information they need and reliably transmits onward the instructions that achieve their goals. </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112098">
        <w:trPr>
          <w:cnfStyle w:val="000000010000" w:firstRow="0" w:lastRow="0" w:firstColumn="0" w:lastColumn="0" w:oddVBand="0" w:evenVBand="0" w:oddHBand="0" w:evenHBand="1"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lang w:val="nl-NL"/>
              </w:rPr>
            </w:pPr>
            <w:r w:rsidRPr="00112098">
              <w:rPr>
                <w:sz w:val="24"/>
                <w:szCs w:val="24"/>
                <w:lang w:val="nl-NL"/>
              </w:rPr>
              <w:t xml:space="preserve">AMSTERDAM GROUP </w:t>
            </w:r>
          </w:p>
          <w:p w:rsidR="00112098" w:rsidRPr="00112098" w:rsidRDefault="00112098" w:rsidP="00112098">
            <w:pPr>
              <w:spacing w:before="120"/>
              <w:jc w:val="both"/>
              <w:rPr>
                <w:sz w:val="24"/>
                <w:szCs w:val="24"/>
                <w:lang w:val="nl-NL"/>
              </w:rPr>
            </w:pPr>
            <w:hyperlink r:id="rId8" w:history="1">
              <w:r w:rsidRPr="00112098">
                <w:rPr>
                  <w:color w:val="0000FF" w:themeColor="hyperlink"/>
                  <w:sz w:val="24"/>
                  <w:szCs w:val="24"/>
                  <w:u w:val="single"/>
                  <w:lang w:val="nl-NL"/>
                </w:rPr>
                <w:t>https://amsterdamgroup.mett.nl/default.aspx</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sz w:val="24"/>
                <w:szCs w:val="24"/>
              </w:rPr>
            </w:pPr>
            <w:r w:rsidRPr="00112098">
              <w:rPr>
                <w:sz w:val="24"/>
                <w:szCs w:val="24"/>
              </w:rPr>
              <w:t xml:space="preserve">The Amsterdam Group is a strategic alliance of committed key stakeholders with the objective to facilitate joint deployment of cooperative ITS in Europe. It includes the umbrella organisations </w:t>
            </w:r>
            <w:hyperlink r:id="rId9" w:tgtFrame="_blank" w:history="1">
              <w:r w:rsidRPr="00112098">
                <w:rPr>
                  <w:color w:val="0000FF" w:themeColor="hyperlink"/>
                  <w:sz w:val="24"/>
                  <w:szCs w:val="24"/>
                  <w:u w:val="single"/>
                </w:rPr>
                <w:t xml:space="preserve">CEDR </w:t>
              </w:r>
            </w:hyperlink>
            <w:r w:rsidRPr="00112098">
              <w:rPr>
                <w:sz w:val="24"/>
                <w:szCs w:val="24"/>
              </w:rPr>
              <w:t xml:space="preserve">– </w:t>
            </w:r>
            <w:hyperlink r:id="rId10" w:tgtFrame="_blank" w:history="1">
              <w:r w:rsidRPr="00112098">
                <w:rPr>
                  <w:color w:val="0000FF" w:themeColor="hyperlink"/>
                  <w:sz w:val="24"/>
                  <w:szCs w:val="24"/>
                  <w:u w:val="single"/>
                </w:rPr>
                <w:t xml:space="preserve">ASECAP </w:t>
              </w:r>
            </w:hyperlink>
            <w:r w:rsidRPr="00112098">
              <w:rPr>
                <w:sz w:val="24"/>
                <w:szCs w:val="24"/>
              </w:rPr>
              <w:t xml:space="preserve">– </w:t>
            </w:r>
            <w:hyperlink r:id="rId11" w:tgtFrame="_blank" w:history="1">
              <w:r w:rsidRPr="00112098">
                <w:rPr>
                  <w:color w:val="0000FF" w:themeColor="hyperlink"/>
                  <w:sz w:val="24"/>
                  <w:szCs w:val="24"/>
                  <w:u w:val="single"/>
                </w:rPr>
                <w:t xml:space="preserve">POLIS </w:t>
              </w:r>
            </w:hyperlink>
            <w:r w:rsidRPr="00112098">
              <w:rPr>
                <w:sz w:val="24"/>
                <w:szCs w:val="24"/>
              </w:rPr>
              <w:t xml:space="preserve">and </w:t>
            </w:r>
            <w:hyperlink r:id="rId12" w:tgtFrame="_blank" w:history="1">
              <w:r w:rsidRPr="00112098">
                <w:rPr>
                  <w:color w:val="0000FF" w:themeColor="hyperlink"/>
                  <w:sz w:val="24"/>
                  <w:szCs w:val="24"/>
                  <w:u w:val="single"/>
                </w:rPr>
                <w:t>C2C-CC</w:t>
              </w:r>
            </w:hyperlink>
            <w:r w:rsidRPr="00112098">
              <w:rPr>
                <w:sz w:val="24"/>
                <w:szCs w:val="24"/>
              </w:rPr>
              <w:t>.</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rPr>
            </w:pPr>
            <w:r w:rsidRPr="00112098">
              <w:rPr>
                <w:rFonts w:cs="Times New Roman"/>
                <w:sz w:val="24"/>
                <w:szCs w:val="24"/>
                <w:lang w:val="en"/>
              </w:rPr>
              <w:t>On-going</w:t>
            </w:r>
          </w:p>
        </w:tc>
      </w:tr>
      <w:tr w:rsidR="00112098" w:rsidRPr="00112098" w:rsidTr="001120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AUTOCITS</w:t>
            </w:r>
          </w:p>
          <w:p w:rsidR="00112098" w:rsidRPr="00112098" w:rsidRDefault="00112098" w:rsidP="00112098">
            <w:pPr>
              <w:spacing w:before="120"/>
              <w:jc w:val="both"/>
              <w:rPr>
                <w:rFonts w:cs="Times New Roman"/>
                <w:sz w:val="24"/>
                <w:szCs w:val="24"/>
                <w:lang w:val="en"/>
              </w:rPr>
            </w:pPr>
            <w:hyperlink r:id="rId13" w:history="1">
              <w:r w:rsidRPr="00112098">
                <w:rPr>
                  <w:color w:val="0000FF" w:themeColor="hyperlink"/>
                  <w:sz w:val="24"/>
                  <w:szCs w:val="24"/>
                  <w:u w:val="single"/>
                  <w:lang w:val="en-US"/>
                </w:rPr>
                <w:t>www.autocits.eu</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b/>
                <w:sz w:val="24"/>
                <w:szCs w:val="24"/>
                <w:lang w:val="en"/>
              </w:rPr>
              <w:t>Pilot testing</w:t>
            </w:r>
            <w:r w:rsidRPr="00112098">
              <w:rPr>
                <w:rFonts w:cs="Times New Roman"/>
                <w:sz w:val="24"/>
                <w:szCs w:val="24"/>
                <w:lang w:val="en"/>
              </w:rPr>
              <w:t xml:space="preserve"> of C-ITS services for autonomous vehicles on outer-ring roads entering cities in Paris, Madrid, Lisbon</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1120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rPr>
            </w:pPr>
            <w:r w:rsidRPr="00112098">
              <w:rPr>
                <w:sz w:val="24"/>
                <w:szCs w:val="24"/>
              </w:rPr>
              <w:t>CAR2CAR</w:t>
            </w:r>
          </w:p>
          <w:p w:rsidR="00112098" w:rsidRPr="00112098" w:rsidRDefault="00112098" w:rsidP="00112098">
            <w:pPr>
              <w:rPr>
                <w:rFonts w:cs="Times New Roman"/>
                <w:sz w:val="24"/>
                <w:szCs w:val="24"/>
              </w:rPr>
            </w:pPr>
            <w:hyperlink r:id="rId14" w:history="1">
              <w:r w:rsidRPr="00112098">
                <w:rPr>
                  <w:color w:val="0000FF" w:themeColor="hyperlink"/>
                  <w:sz w:val="24"/>
                  <w:szCs w:val="24"/>
                  <w:u w:val="single"/>
                </w:rPr>
                <w:t>https://www.car-2-car.org/index.php?id=5</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rPr>
            </w:pPr>
            <w:r w:rsidRPr="00112098">
              <w:rPr>
                <w:rFonts w:cs="Times New Roman"/>
                <w:sz w:val="24"/>
                <w:szCs w:val="24"/>
                <w:lang w:val="en"/>
              </w:rPr>
              <w:t>Enhancing road safety and traffic efficiency by means of Cooperative Intelligent Transport Systems and Services (C-ITS) – this is the dedicated goal of the CAR 2 CAR Communication Consortium.</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1120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rPr>
            </w:pPr>
            <w:r w:rsidRPr="00112098">
              <w:rPr>
                <w:rFonts w:cs="Times New Roman"/>
                <w:sz w:val="24"/>
                <w:szCs w:val="24"/>
              </w:rPr>
              <w:t>CIMEC</w:t>
            </w:r>
          </w:p>
          <w:p w:rsidR="00112098" w:rsidRPr="00112098" w:rsidRDefault="00112098" w:rsidP="00112098">
            <w:pPr>
              <w:spacing w:before="120"/>
              <w:jc w:val="both"/>
              <w:rPr>
                <w:rFonts w:cs="Times New Roman"/>
                <w:sz w:val="24"/>
                <w:szCs w:val="24"/>
              </w:rPr>
            </w:pPr>
            <w:hyperlink r:id="rId15" w:history="1">
              <w:r w:rsidRPr="00112098">
                <w:rPr>
                  <w:rFonts w:cs="Times New Roman"/>
                  <w:color w:val="0000FF" w:themeColor="hyperlink"/>
                  <w:sz w:val="24"/>
                  <w:szCs w:val="24"/>
                  <w:u w:val="single"/>
                </w:rPr>
                <w:t>http://cimec-project.eu</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rFonts w:cs="Times New Roman"/>
                <w:sz w:val="24"/>
                <w:szCs w:val="24"/>
              </w:rPr>
              <w:t xml:space="preserve">C-ITS </w:t>
            </w:r>
            <w:r w:rsidRPr="00112098">
              <w:rPr>
                <w:rFonts w:cs="Times New Roman"/>
                <w:b/>
                <w:bCs/>
                <w:sz w:val="24"/>
                <w:szCs w:val="24"/>
              </w:rPr>
              <w:t>use cases</w:t>
            </w:r>
            <w:r w:rsidRPr="00112098">
              <w:rPr>
                <w:rFonts w:cs="Times New Roman"/>
                <w:sz w:val="24"/>
                <w:szCs w:val="24"/>
              </w:rPr>
              <w:t xml:space="preserve">, </w:t>
            </w:r>
            <w:r w:rsidRPr="00112098">
              <w:rPr>
                <w:rFonts w:cs="Times New Roman"/>
                <w:b/>
                <w:bCs/>
                <w:sz w:val="24"/>
                <w:szCs w:val="24"/>
              </w:rPr>
              <w:t>standardisation</w:t>
            </w:r>
            <w:r w:rsidRPr="00112098">
              <w:rPr>
                <w:rFonts w:cs="Times New Roman"/>
                <w:sz w:val="24"/>
                <w:szCs w:val="24"/>
              </w:rPr>
              <w:t xml:space="preserve"> gaps and requirements, </w:t>
            </w:r>
            <w:r w:rsidRPr="00112098">
              <w:rPr>
                <w:rFonts w:cs="Times New Roman"/>
                <w:b/>
                <w:bCs/>
                <w:sz w:val="24"/>
                <w:szCs w:val="24"/>
              </w:rPr>
              <w:t>deployment roadmap</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Completed</w:t>
            </w:r>
          </w:p>
        </w:tc>
      </w:tr>
      <w:tr w:rsidR="00112098" w:rsidRPr="00112098" w:rsidTr="001120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C-MOBILE</w:t>
            </w:r>
          </w:p>
          <w:p w:rsidR="00112098" w:rsidRPr="00112098" w:rsidRDefault="00112098" w:rsidP="00112098">
            <w:pPr>
              <w:spacing w:before="120"/>
              <w:jc w:val="both"/>
              <w:rPr>
                <w:rFonts w:cs="Times New Roman"/>
                <w:sz w:val="24"/>
                <w:szCs w:val="24"/>
                <w:lang w:val="en"/>
              </w:rPr>
            </w:pPr>
            <w:hyperlink r:id="rId16" w:history="1">
              <w:r w:rsidRPr="00112098">
                <w:rPr>
                  <w:rFonts w:cs="Times New Roman"/>
                  <w:color w:val="0000FF" w:themeColor="hyperlink"/>
                  <w:sz w:val="24"/>
                  <w:szCs w:val="24"/>
                  <w:u w:val="single"/>
                  <w:lang w:val="en"/>
                </w:rPr>
                <w:t>http://ertico.com/projects/c-mobile/</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Arial"/>
                <w:b/>
                <w:color w:val="000000"/>
                <w:sz w:val="24"/>
                <w:szCs w:val="20"/>
                <w:lang w:val="en-US"/>
              </w:rPr>
              <w:t>Pilot testing</w:t>
            </w:r>
            <w:r w:rsidRPr="00112098">
              <w:rPr>
                <w:rFonts w:cs="Arial"/>
                <w:color w:val="000000"/>
                <w:sz w:val="24"/>
                <w:szCs w:val="20"/>
                <w:lang w:val="en-US"/>
              </w:rPr>
              <w:t xml:space="preserve"> of C-ITS services in specific urban and extra-urban locations in 8 cities across 6 MS. incl. interactions with </w:t>
            </w:r>
            <w:r w:rsidRPr="00112098">
              <w:rPr>
                <w:rFonts w:cs="Arial"/>
                <w:b/>
                <w:color w:val="000000"/>
                <w:sz w:val="24"/>
                <w:szCs w:val="20"/>
                <w:lang w:val="en-US"/>
              </w:rPr>
              <w:t>VRUs.</w:t>
            </w:r>
            <w:r w:rsidRPr="00112098">
              <w:rPr>
                <w:rFonts w:cs="Arial"/>
                <w:color w:val="000000"/>
                <w:sz w:val="24"/>
                <w:szCs w:val="20"/>
                <w:lang w:val="en-US"/>
              </w:rPr>
              <w:t xml:space="preserve"> On a small scale the extension towards automated driving is piloted. </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112098">
        <w:trPr>
          <w:cnfStyle w:val="000000100000" w:firstRow="0" w:lastRow="0" w:firstColumn="0" w:lastColumn="0" w:oddVBand="0" w:evenVBand="0" w:oddHBand="1" w:evenHBand="0" w:firstRowFirstColumn="0" w:firstRowLastColumn="0" w:lastRowFirstColumn="0" w:lastRowLastColumn="0"/>
          <w:trHeight w:val="985"/>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CODECS</w:t>
            </w:r>
          </w:p>
          <w:p w:rsidR="00112098" w:rsidRPr="00112098" w:rsidRDefault="00112098" w:rsidP="00112098">
            <w:pPr>
              <w:spacing w:before="120"/>
              <w:jc w:val="both"/>
              <w:rPr>
                <w:rFonts w:cs="Times New Roman"/>
                <w:sz w:val="24"/>
                <w:szCs w:val="24"/>
                <w:lang w:val="en"/>
              </w:rPr>
            </w:pPr>
            <w:hyperlink r:id="rId17" w:history="1">
              <w:r w:rsidRPr="00112098">
                <w:rPr>
                  <w:rFonts w:cs="Times New Roman"/>
                  <w:color w:val="0000FF" w:themeColor="hyperlink"/>
                  <w:sz w:val="24"/>
                  <w:szCs w:val="24"/>
                  <w:u w:val="single"/>
                  <w:lang w:val="en"/>
                </w:rPr>
                <w:t>www.codecs-project.eu</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 xml:space="preserve">Common technical specifications for interfacing the vehicle and urban traffic management system &amp; urban transport authority C-ITS requirements </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1120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C-ROADS</w:t>
            </w:r>
          </w:p>
          <w:p w:rsidR="00112098" w:rsidRPr="00112098" w:rsidRDefault="00112098" w:rsidP="00112098">
            <w:pPr>
              <w:spacing w:before="120"/>
              <w:jc w:val="both"/>
              <w:rPr>
                <w:rFonts w:cs="Times New Roman"/>
                <w:sz w:val="24"/>
                <w:szCs w:val="24"/>
                <w:lang w:val="en"/>
              </w:rPr>
            </w:pPr>
            <w:hyperlink r:id="rId18" w:history="1">
              <w:r w:rsidRPr="00112098">
                <w:rPr>
                  <w:rFonts w:cs="Times New Roman"/>
                  <w:color w:val="0000FF" w:themeColor="hyperlink"/>
                  <w:sz w:val="24"/>
                  <w:szCs w:val="24"/>
                  <w:u w:val="single"/>
                  <w:lang w:val="en"/>
                </w:rPr>
                <w:t>https://www.c-roads.eu/</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b/>
                <w:sz w:val="24"/>
                <w:szCs w:val="24"/>
                <w:lang w:val="en"/>
              </w:rPr>
              <w:t>Pilot testing</w:t>
            </w:r>
            <w:r w:rsidRPr="00112098">
              <w:rPr>
                <w:rFonts w:cs="Times New Roman"/>
                <w:sz w:val="24"/>
                <w:szCs w:val="24"/>
                <w:lang w:val="en"/>
              </w:rPr>
              <w:t xml:space="preserve"> of C-ITS services (CZ, FR in particular useful for inner-city testing) </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1120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6B4458">
            <w:pPr>
              <w:spacing w:before="120"/>
              <w:jc w:val="both"/>
              <w:rPr>
                <w:rFonts w:cs="Times New Roman"/>
                <w:sz w:val="24"/>
                <w:szCs w:val="24"/>
              </w:rPr>
            </w:pPr>
            <w:r w:rsidRPr="00112098">
              <w:rPr>
                <w:rFonts w:cs="Times New Roman"/>
                <w:sz w:val="24"/>
                <w:szCs w:val="24"/>
              </w:rPr>
              <w:t>C-THE-DIFFERENCE</w:t>
            </w:r>
          </w:p>
          <w:p w:rsidR="00112098" w:rsidRPr="00112098" w:rsidRDefault="00112098" w:rsidP="006B4458">
            <w:pPr>
              <w:spacing w:before="120"/>
              <w:jc w:val="both"/>
              <w:rPr>
                <w:rFonts w:cs="Times New Roman"/>
                <w:sz w:val="24"/>
                <w:szCs w:val="24"/>
              </w:rPr>
            </w:pPr>
          </w:p>
        </w:tc>
        <w:tc>
          <w:tcPr>
            <w:tcW w:w="5437" w:type="dxa"/>
          </w:tcPr>
          <w:p w:rsidR="00112098" w:rsidRPr="00112098" w:rsidRDefault="00112098" w:rsidP="006B4458">
            <w:pPr>
              <w:spacing w:before="120"/>
              <w:jc w:val="both"/>
              <w:cnfStyle w:val="000000100000" w:firstRow="0" w:lastRow="0" w:firstColumn="0" w:lastColumn="0" w:oddVBand="0" w:evenVBand="0" w:oddHBand="1" w:evenHBand="0" w:firstRowFirstColumn="0" w:firstRowLastColumn="0" w:lastRowFirstColumn="0" w:lastRowLastColumn="0"/>
              <w:rPr>
                <w:rFonts w:cs="Times New Roman"/>
                <w:b/>
                <w:bCs/>
                <w:sz w:val="24"/>
                <w:szCs w:val="24"/>
              </w:rPr>
            </w:pPr>
            <w:r w:rsidRPr="00112098">
              <w:rPr>
                <w:rFonts w:cs="Times New Roman"/>
                <w:b/>
                <w:bCs/>
                <w:sz w:val="24"/>
                <w:szCs w:val="24"/>
              </w:rPr>
              <w:t xml:space="preserve">Pilot results </w:t>
            </w:r>
            <w:r w:rsidRPr="00112098">
              <w:rPr>
                <w:rFonts w:cs="Times New Roman"/>
                <w:sz w:val="24"/>
                <w:szCs w:val="24"/>
              </w:rPr>
              <w:t>of different C-ITS services (similar to list priority list) in Helmond and Bordeaux based on ITS G5 and 3G/LTE.</w:t>
            </w:r>
          </w:p>
        </w:tc>
        <w:tc>
          <w:tcPr>
            <w:tcW w:w="1475" w:type="dxa"/>
          </w:tcPr>
          <w:p w:rsidR="00112098" w:rsidRPr="00112098" w:rsidRDefault="00112098" w:rsidP="006B445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bl>
    <w:p w:rsidR="00112098" w:rsidRPr="00112098" w:rsidRDefault="00112098" w:rsidP="00112098">
      <w:pPr>
        <w:spacing w:before="120" w:line="240" w:lineRule="auto"/>
        <w:jc w:val="both"/>
        <w:rPr>
          <w:sz w:val="24"/>
          <w:szCs w:val="24"/>
        </w:rPr>
      </w:pPr>
    </w:p>
    <w:tbl>
      <w:tblPr>
        <w:tblStyle w:val="MediumShading1-Accent1"/>
        <w:tblW w:w="0" w:type="auto"/>
        <w:tblInd w:w="108" w:type="dxa"/>
        <w:tblLayout w:type="fixed"/>
        <w:tblLook w:val="04A0" w:firstRow="1" w:lastRow="0" w:firstColumn="1" w:lastColumn="0" w:noHBand="0" w:noVBand="1"/>
      </w:tblPr>
      <w:tblGrid>
        <w:gridCol w:w="2268"/>
        <w:gridCol w:w="5437"/>
        <w:gridCol w:w="1475"/>
      </w:tblGrid>
      <w:tr w:rsidR="00112098" w:rsidRPr="00112098" w:rsidTr="006B44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lastRenderedPageBreak/>
              <w:t>Project</w:t>
            </w:r>
          </w:p>
        </w:tc>
        <w:tc>
          <w:tcPr>
            <w:tcW w:w="5437" w:type="dxa"/>
          </w:tcPr>
          <w:p w:rsidR="00112098" w:rsidRPr="00112098" w:rsidRDefault="00112098" w:rsidP="00112098">
            <w:pPr>
              <w:spacing w:before="120"/>
              <w:jc w:val="both"/>
              <w:cnfStyle w:val="100000000000" w:firstRow="1" w:lastRow="0" w:firstColumn="0" w:lastColumn="0" w:oddVBand="0" w:evenVBand="0" w:oddHBand="0" w:evenHBand="0" w:firstRowFirstColumn="0" w:firstRowLastColumn="0" w:lastRowFirstColumn="0" w:lastRowLastColumn="0"/>
              <w:rPr>
                <w:rFonts w:cs="Times New Roman"/>
                <w:sz w:val="24"/>
                <w:szCs w:val="24"/>
                <w:lang w:val="en"/>
              </w:rPr>
            </w:pPr>
            <w:r w:rsidRPr="00112098">
              <w:rPr>
                <w:rFonts w:cs="Times New Roman"/>
                <w:sz w:val="24"/>
                <w:szCs w:val="24"/>
                <w:lang w:val="en"/>
              </w:rPr>
              <w:t>Short description</w:t>
            </w:r>
          </w:p>
        </w:tc>
        <w:tc>
          <w:tcPr>
            <w:tcW w:w="1475" w:type="dxa"/>
          </w:tcPr>
          <w:p w:rsidR="00112098" w:rsidRPr="00112098" w:rsidRDefault="00112098" w:rsidP="00112098">
            <w:pPr>
              <w:spacing w:before="120"/>
              <w:jc w:val="both"/>
              <w:cnfStyle w:val="100000000000" w:firstRow="1" w:lastRow="0" w:firstColumn="0" w:lastColumn="0" w:oddVBand="0" w:evenVBand="0" w:oddHBand="0" w:evenHBand="0" w:firstRowFirstColumn="0" w:firstRowLastColumn="0" w:lastRowFirstColumn="0" w:lastRowLastColumn="0"/>
              <w:rPr>
                <w:rFonts w:cs="Times New Roman"/>
                <w:sz w:val="24"/>
                <w:szCs w:val="24"/>
                <w:lang w:val="en"/>
              </w:rPr>
            </w:pPr>
            <w:r w:rsidRPr="00112098">
              <w:rPr>
                <w:rFonts w:cs="Times New Roman"/>
                <w:sz w:val="24"/>
                <w:szCs w:val="24"/>
                <w:lang w:val="en"/>
              </w:rPr>
              <w:t>Status</w:t>
            </w:r>
          </w:p>
        </w:tc>
      </w:tr>
      <w:tr w:rsidR="00112098" w:rsidRPr="00112098" w:rsidTr="006B44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lang w:val="nl-NL"/>
              </w:rPr>
            </w:pPr>
            <w:r w:rsidRPr="00112098">
              <w:rPr>
                <w:sz w:val="24"/>
                <w:szCs w:val="24"/>
                <w:lang w:val="nl-NL"/>
              </w:rPr>
              <w:t>DATEX II</w:t>
            </w:r>
          </w:p>
          <w:p w:rsidR="00112098" w:rsidRPr="00112098" w:rsidRDefault="00112098" w:rsidP="00112098">
            <w:pPr>
              <w:spacing w:before="120"/>
              <w:jc w:val="both"/>
              <w:rPr>
                <w:rFonts w:cs="Times New Roman"/>
                <w:sz w:val="24"/>
                <w:szCs w:val="24"/>
                <w:lang w:val="nl-NL"/>
              </w:rPr>
            </w:pPr>
            <w:hyperlink r:id="rId19" w:history="1">
              <w:r w:rsidRPr="00112098">
                <w:rPr>
                  <w:rFonts w:cs="Times New Roman"/>
                  <w:color w:val="0000FF" w:themeColor="hyperlink"/>
                  <w:sz w:val="24"/>
                  <w:szCs w:val="24"/>
                  <w:u w:val="single"/>
                  <w:lang w:val="nl-NL"/>
                </w:rPr>
                <w:t>http://www.datex2.eu/</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sz w:val="24"/>
                <w:szCs w:val="24"/>
              </w:rPr>
              <w:t>In the road sector, the DATEX standard was developed for information exchange between traffic management centres, traffic information centres and service providers. The second generation DATEX II specification now also pushes the door wide open for all actors in the traffic and travel information sector.</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rFonts w:cs="Times New Roman"/>
                <w:sz w:val="24"/>
                <w:szCs w:val="24"/>
              </w:rPr>
              <w:t>On-going</w:t>
            </w:r>
          </w:p>
        </w:tc>
      </w:tr>
      <w:tr w:rsidR="00112098" w:rsidRPr="00112098" w:rsidTr="006B4458">
        <w:trPr>
          <w:cnfStyle w:val="000000010000" w:firstRow="0" w:lastRow="0" w:firstColumn="0" w:lastColumn="0" w:oddVBand="0" w:evenVBand="0" w:oddHBand="0" w:evenHBand="1"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rPr>
            </w:pPr>
            <w:r w:rsidRPr="00112098">
              <w:rPr>
                <w:sz w:val="24"/>
                <w:szCs w:val="24"/>
              </w:rPr>
              <w:t>DRIVE-C2X</w:t>
            </w:r>
          </w:p>
          <w:p w:rsidR="00112098" w:rsidRPr="00112098" w:rsidRDefault="00112098" w:rsidP="00112098">
            <w:pPr>
              <w:rPr>
                <w:sz w:val="24"/>
                <w:szCs w:val="24"/>
              </w:rPr>
            </w:pPr>
            <w:hyperlink r:id="rId20" w:history="1">
              <w:r w:rsidRPr="00112098">
                <w:rPr>
                  <w:color w:val="0000FF" w:themeColor="hyperlink"/>
                  <w:sz w:val="24"/>
                  <w:szCs w:val="24"/>
                  <w:u w:val="single"/>
                </w:rPr>
                <w:t>http://www.drive-c2x.eu/project</w:t>
              </w:r>
            </w:hyperlink>
          </w:p>
          <w:p w:rsidR="00112098" w:rsidRPr="00112098" w:rsidRDefault="00112098" w:rsidP="00112098">
            <w:pPr>
              <w:rPr>
                <w:sz w:val="24"/>
                <w:szCs w:val="24"/>
              </w:rPr>
            </w:pPr>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sz w:val="24"/>
                <w:szCs w:val="24"/>
              </w:rPr>
            </w:pPr>
            <w:r w:rsidRPr="00112098">
              <w:rPr>
                <w:sz w:val="24"/>
                <w:szCs w:val="24"/>
              </w:rPr>
              <w:t>The project provided a comprehensive, Europe-wide assessment of cooperative systems through field operational tests. The field trials involving seven test sites all across Europe proved the safety and efficiency benefits of cooperative systems.</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sz w:val="24"/>
                <w:szCs w:val="24"/>
                <w:lang w:val="en"/>
              </w:rPr>
              <w:t>Completed</w:t>
            </w:r>
          </w:p>
        </w:tc>
      </w:tr>
      <w:tr w:rsidR="00112098" w:rsidRPr="00112098" w:rsidTr="006B44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MAVEN</w:t>
            </w:r>
          </w:p>
          <w:p w:rsidR="00112098" w:rsidRPr="00112098" w:rsidRDefault="00112098" w:rsidP="00112098">
            <w:pPr>
              <w:spacing w:before="120"/>
              <w:jc w:val="both"/>
              <w:rPr>
                <w:rFonts w:cs="Times New Roman"/>
                <w:sz w:val="24"/>
                <w:szCs w:val="24"/>
                <w:lang w:val="en"/>
              </w:rPr>
            </w:pPr>
            <w:hyperlink r:id="rId21" w:history="1">
              <w:r w:rsidRPr="00112098">
                <w:rPr>
                  <w:rFonts w:cs="Times New Roman"/>
                  <w:color w:val="0000FF" w:themeColor="hyperlink"/>
                  <w:sz w:val="24"/>
                  <w:szCs w:val="24"/>
                  <w:u w:val="single"/>
                  <w:lang w:val="en"/>
                </w:rPr>
                <w:t>http://connectedautomateddriving.eu/project/maven/</w:t>
              </w:r>
            </w:hyperlink>
            <w:r w:rsidRPr="00112098">
              <w:rPr>
                <w:rFonts w:cs="Times New Roman"/>
                <w:sz w:val="24"/>
                <w:szCs w:val="24"/>
                <w:lang w:val="en"/>
              </w:rPr>
              <w:t xml:space="preserve"> </w:t>
            </w:r>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Arial"/>
                <w:b/>
                <w:color w:val="000000"/>
                <w:sz w:val="24"/>
                <w:szCs w:val="20"/>
                <w:lang w:val="en-US"/>
              </w:rPr>
            </w:pPr>
            <w:r w:rsidRPr="00112098">
              <w:rPr>
                <w:rFonts w:cs="Arial"/>
                <w:sz w:val="24"/>
                <w:szCs w:val="20"/>
                <w:lang w:val="en"/>
              </w:rPr>
              <w:t>I</w:t>
            </w:r>
            <w:proofErr w:type="spellStart"/>
            <w:r w:rsidRPr="00112098">
              <w:rPr>
                <w:rFonts w:cs="Arial"/>
                <w:sz w:val="24"/>
                <w:szCs w:val="20"/>
                <w:lang w:val="en-US"/>
              </w:rPr>
              <w:t>nfrastructure</w:t>
            </w:r>
            <w:proofErr w:type="spellEnd"/>
            <w:r w:rsidRPr="00112098">
              <w:rPr>
                <w:rFonts w:cs="Arial"/>
                <w:sz w:val="24"/>
                <w:szCs w:val="20"/>
                <w:lang w:val="en-US"/>
              </w:rPr>
              <w:t xml:space="preserve"> assisted algorithms for the management of automated vehicles, which connect and extend vehicle systems for trajectory and maneuver planning.</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6B4458">
        <w:trPr>
          <w:cnfStyle w:val="000000010000" w:firstRow="0" w:lastRow="0" w:firstColumn="0" w:lastColumn="0" w:oddVBand="0" w:evenVBand="0" w:oddHBand="0" w:evenHBand="1"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lang w:val="fr-BE"/>
              </w:rPr>
            </w:pPr>
            <w:r w:rsidRPr="00112098">
              <w:rPr>
                <w:sz w:val="24"/>
                <w:szCs w:val="24"/>
                <w:lang w:val="fr-BE"/>
              </w:rPr>
              <w:t xml:space="preserve">MOBINET </w:t>
            </w:r>
          </w:p>
          <w:p w:rsidR="00112098" w:rsidRPr="00112098" w:rsidRDefault="00112098" w:rsidP="00112098">
            <w:pPr>
              <w:rPr>
                <w:sz w:val="24"/>
                <w:szCs w:val="24"/>
              </w:rPr>
            </w:pPr>
            <w:hyperlink r:id="rId22" w:history="1">
              <w:r w:rsidRPr="00112098">
                <w:rPr>
                  <w:color w:val="0000FF" w:themeColor="hyperlink"/>
                  <w:sz w:val="24"/>
                  <w:szCs w:val="24"/>
                  <w:u w:val="single"/>
                </w:rPr>
                <w:t>http://www.mobinet.eu/</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sz w:val="24"/>
                <w:szCs w:val="24"/>
              </w:rPr>
            </w:pPr>
            <w:r w:rsidRPr="00112098">
              <w:rPr>
                <w:sz w:val="24"/>
                <w:szCs w:val="24"/>
              </w:rPr>
              <w:t xml:space="preserve">At the core of </w:t>
            </w:r>
            <w:proofErr w:type="spellStart"/>
            <w:r w:rsidRPr="00112098">
              <w:rPr>
                <w:sz w:val="24"/>
                <w:szCs w:val="24"/>
              </w:rPr>
              <w:t>MOBiNET</w:t>
            </w:r>
            <w:proofErr w:type="spellEnd"/>
            <w:r w:rsidRPr="00112098">
              <w:rPr>
                <w:sz w:val="24"/>
                <w:szCs w:val="24"/>
              </w:rPr>
              <w:t xml:space="preserve"> is a platform providing components and tools that enable interactions between users and suppliers of mobility services.</w:t>
            </w:r>
            <w:r w:rsidRPr="00112098">
              <w:rPr>
                <w:sz w:val="24"/>
                <w:szCs w:val="24"/>
              </w:rPr>
              <w:br/>
              <w:t xml:space="preserve">The </w:t>
            </w:r>
            <w:proofErr w:type="spellStart"/>
            <w:r w:rsidRPr="00112098">
              <w:rPr>
                <w:sz w:val="24"/>
                <w:szCs w:val="24"/>
              </w:rPr>
              <w:t>MOBiNET</w:t>
            </w:r>
            <w:proofErr w:type="spellEnd"/>
            <w:r w:rsidRPr="00112098">
              <w:rPr>
                <w:sz w:val="24"/>
                <w:szCs w:val="24"/>
              </w:rPr>
              <w:t xml:space="preserve"> e-marketplace allows content and service providers to exchange transport and mobility services for new or third-party service development.</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sz w:val="24"/>
                <w:szCs w:val="24"/>
                <w:lang w:val="en"/>
              </w:rPr>
              <w:t>Completed</w:t>
            </w:r>
          </w:p>
        </w:tc>
      </w:tr>
      <w:tr w:rsidR="00112098" w:rsidRPr="00112098" w:rsidTr="006B44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rFonts w:cs="Times New Roman"/>
                <w:sz w:val="24"/>
                <w:szCs w:val="24"/>
                <w:lang w:val="en"/>
              </w:rPr>
            </w:pPr>
            <w:r w:rsidRPr="00112098">
              <w:rPr>
                <w:rFonts w:cs="Times New Roman"/>
                <w:sz w:val="24"/>
                <w:szCs w:val="24"/>
                <w:lang w:val="en"/>
              </w:rPr>
              <w:t>NORDICWAY</w:t>
            </w:r>
          </w:p>
          <w:p w:rsidR="00112098" w:rsidRPr="00112098" w:rsidRDefault="00112098" w:rsidP="00112098">
            <w:pPr>
              <w:spacing w:before="120"/>
              <w:jc w:val="both"/>
              <w:rPr>
                <w:rFonts w:cs="Times New Roman"/>
                <w:sz w:val="24"/>
                <w:szCs w:val="24"/>
              </w:rPr>
            </w:pPr>
            <w:hyperlink r:id="rId23" w:history="1">
              <w:r w:rsidRPr="00112098">
                <w:rPr>
                  <w:rFonts w:cs="Times New Roman"/>
                  <w:color w:val="0000FF" w:themeColor="hyperlink"/>
                  <w:sz w:val="24"/>
                  <w:szCs w:val="24"/>
                  <w:u w:val="single"/>
                </w:rPr>
                <w:t>http://vejdirektoratet.dk/EN/roadsector/Nordicway/Pages/Default.aspx</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b/>
                <w:sz w:val="24"/>
                <w:szCs w:val="24"/>
              </w:rPr>
              <w:t xml:space="preserve">Pilot and deployment </w:t>
            </w:r>
            <w:r w:rsidRPr="00112098">
              <w:rPr>
                <w:sz w:val="24"/>
                <w:szCs w:val="24"/>
              </w:rPr>
              <w:t xml:space="preserve">of cellular and hybrid C-ITS hazard, weather and road works warnings as well as probe vehicle data in Denmark, Finland, Norway and Sweden so that the traffic management centres interact with vehicles and travellers via national, OEM and service provider clouds. </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rFonts w:cs="Times New Roman"/>
                <w:sz w:val="24"/>
                <w:szCs w:val="24"/>
                <w:lang w:val="en"/>
              </w:rPr>
              <w:t>On-going</w:t>
            </w:r>
          </w:p>
        </w:tc>
      </w:tr>
      <w:tr w:rsidR="00112098" w:rsidRPr="00112098" w:rsidTr="006B445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rPr>
            </w:pPr>
            <w:r w:rsidRPr="00112098">
              <w:rPr>
                <w:sz w:val="24"/>
                <w:szCs w:val="24"/>
              </w:rPr>
              <w:t>NTCIP</w:t>
            </w:r>
          </w:p>
          <w:p w:rsidR="00112098" w:rsidRPr="00112098" w:rsidRDefault="00112098" w:rsidP="00112098">
            <w:pPr>
              <w:spacing w:before="120"/>
              <w:jc w:val="both"/>
              <w:rPr>
                <w:rFonts w:cs="Times New Roman"/>
                <w:sz w:val="24"/>
                <w:szCs w:val="24"/>
                <w:lang w:val="en"/>
              </w:rPr>
            </w:pPr>
            <w:hyperlink r:id="rId24" w:history="1">
              <w:r w:rsidRPr="00112098">
                <w:rPr>
                  <w:rFonts w:cs="Times New Roman"/>
                  <w:color w:val="0000FF" w:themeColor="hyperlink"/>
                  <w:sz w:val="24"/>
                  <w:szCs w:val="24"/>
                  <w:u w:val="single"/>
                  <w:lang w:val="en"/>
                </w:rPr>
                <w:t>https://www.ntcip.org/</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bCs/>
                <w:sz w:val="24"/>
                <w:szCs w:val="24"/>
              </w:rPr>
            </w:pPr>
            <w:r w:rsidRPr="00112098">
              <w:rPr>
                <w:rFonts w:cs="Times New Roman"/>
                <w:bCs/>
                <w:sz w:val="24"/>
                <w:szCs w:val="24"/>
              </w:rPr>
              <w:t>The NTCIP is the first set of standards for the transportation industry that allows traffic control systems to be built using a "mix and match" approach with equipment from different manufacturers.</w:t>
            </w:r>
            <w:r w:rsidRPr="00112098">
              <w:rPr>
                <w:sz w:val="24"/>
                <w:szCs w:val="24"/>
              </w:rPr>
              <w:t xml:space="preserve"> </w:t>
            </w:r>
            <w:r w:rsidRPr="00112098">
              <w:rPr>
                <w:rFonts w:cs="Times New Roman"/>
                <w:bCs/>
                <w:sz w:val="24"/>
                <w:szCs w:val="24"/>
              </w:rPr>
              <w:t>NTCIP is a joint product of NEMA, AASHTO and ITE.</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US"/>
              </w:rPr>
            </w:pPr>
            <w:r w:rsidRPr="00112098">
              <w:rPr>
                <w:rFonts w:cs="Times New Roman"/>
                <w:sz w:val="24"/>
                <w:szCs w:val="24"/>
                <w:lang w:val="en-US"/>
              </w:rPr>
              <w:t>Ongoing</w:t>
            </w:r>
          </w:p>
        </w:tc>
      </w:tr>
      <w:tr w:rsidR="00112098" w:rsidRPr="00112098" w:rsidTr="006B44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rPr>
            </w:pPr>
            <w:r w:rsidRPr="00112098">
              <w:rPr>
                <w:sz w:val="24"/>
                <w:szCs w:val="24"/>
              </w:rPr>
              <w:t xml:space="preserve">Standards Urban ITS </w:t>
            </w:r>
          </w:p>
          <w:p w:rsidR="00112098" w:rsidRPr="00112098" w:rsidRDefault="00112098" w:rsidP="00112098">
            <w:pPr>
              <w:spacing w:before="120"/>
              <w:jc w:val="both"/>
              <w:rPr>
                <w:rFonts w:cs="Times New Roman"/>
                <w:sz w:val="24"/>
                <w:szCs w:val="24"/>
                <w:lang w:val="en"/>
              </w:rPr>
            </w:pPr>
            <w:hyperlink r:id="rId25" w:history="1">
              <w:r w:rsidRPr="00112098">
                <w:rPr>
                  <w:rFonts w:cs="Times New Roman"/>
                  <w:color w:val="0000FF" w:themeColor="hyperlink"/>
                  <w:sz w:val="24"/>
                  <w:szCs w:val="24"/>
                  <w:u w:val="single"/>
                  <w:lang w:val="en"/>
                </w:rPr>
                <w:t>http://www.itsstandards.eu/index.php/urban-its</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rFonts w:cs="Times New Roman"/>
                <w:sz w:val="24"/>
                <w:szCs w:val="24"/>
              </w:rPr>
              <w:t xml:space="preserve">A </w:t>
            </w:r>
            <w:proofErr w:type="spellStart"/>
            <w:r w:rsidRPr="00112098">
              <w:rPr>
                <w:rFonts w:cs="Times New Roman"/>
                <w:sz w:val="24"/>
                <w:szCs w:val="24"/>
              </w:rPr>
              <w:t>prestudy</w:t>
            </w:r>
            <w:proofErr w:type="spellEnd"/>
            <w:r w:rsidRPr="00112098">
              <w:rPr>
                <w:rFonts w:cs="Times New Roman"/>
                <w:sz w:val="24"/>
                <w:szCs w:val="24"/>
              </w:rPr>
              <w:t xml:space="preserve"> was carried out by CEN/TC 278  to identify gaps and overlaps in ITS standards that may be needed by Urban Administrations to assist them to implement Urban-ITS.</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bl>
    <w:p w:rsidR="00112098" w:rsidRDefault="00112098">
      <w:r>
        <w:rPr>
          <w:b/>
          <w:bCs/>
        </w:rPr>
        <w:br w:type="page"/>
      </w:r>
      <w:bookmarkStart w:id="1" w:name="_GoBack"/>
      <w:bookmarkEnd w:id="1"/>
    </w:p>
    <w:tbl>
      <w:tblPr>
        <w:tblStyle w:val="MediumShading1-Accent1"/>
        <w:tblW w:w="0" w:type="auto"/>
        <w:tblInd w:w="108" w:type="dxa"/>
        <w:tblLayout w:type="fixed"/>
        <w:tblLook w:val="04A0" w:firstRow="1" w:lastRow="0" w:firstColumn="1" w:lastColumn="0" w:noHBand="0" w:noVBand="1"/>
      </w:tblPr>
      <w:tblGrid>
        <w:gridCol w:w="2268"/>
        <w:gridCol w:w="5437"/>
        <w:gridCol w:w="1475"/>
      </w:tblGrid>
      <w:tr w:rsidR="00112098" w:rsidRPr="00112098" w:rsidTr="006B44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6B4458">
            <w:pPr>
              <w:spacing w:before="120"/>
              <w:jc w:val="both"/>
              <w:rPr>
                <w:rFonts w:cs="Times New Roman"/>
                <w:sz w:val="24"/>
                <w:szCs w:val="24"/>
                <w:lang w:val="en"/>
              </w:rPr>
            </w:pPr>
            <w:r w:rsidRPr="00112098">
              <w:rPr>
                <w:rFonts w:cs="Times New Roman"/>
                <w:sz w:val="24"/>
                <w:szCs w:val="24"/>
                <w:lang w:val="en"/>
              </w:rPr>
              <w:lastRenderedPageBreak/>
              <w:t>Project</w:t>
            </w:r>
          </w:p>
        </w:tc>
        <w:tc>
          <w:tcPr>
            <w:tcW w:w="5437" w:type="dxa"/>
          </w:tcPr>
          <w:p w:rsidR="00112098" w:rsidRPr="00112098" w:rsidRDefault="00112098" w:rsidP="006B4458">
            <w:pPr>
              <w:spacing w:before="120"/>
              <w:jc w:val="both"/>
              <w:cnfStyle w:val="100000000000" w:firstRow="1" w:lastRow="0" w:firstColumn="0" w:lastColumn="0" w:oddVBand="0" w:evenVBand="0" w:oddHBand="0" w:evenHBand="0" w:firstRowFirstColumn="0" w:firstRowLastColumn="0" w:lastRowFirstColumn="0" w:lastRowLastColumn="0"/>
              <w:rPr>
                <w:rFonts w:cs="Times New Roman"/>
                <w:sz w:val="24"/>
                <w:szCs w:val="24"/>
                <w:lang w:val="en"/>
              </w:rPr>
            </w:pPr>
            <w:r w:rsidRPr="00112098">
              <w:rPr>
                <w:rFonts w:cs="Times New Roman"/>
                <w:sz w:val="24"/>
                <w:szCs w:val="24"/>
                <w:lang w:val="en"/>
              </w:rPr>
              <w:t>Short description</w:t>
            </w:r>
          </w:p>
        </w:tc>
        <w:tc>
          <w:tcPr>
            <w:tcW w:w="1475" w:type="dxa"/>
          </w:tcPr>
          <w:p w:rsidR="00112098" w:rsidRPr="00112098" w:rsidRDefault="00112098" w:rsidP="006B4458">
            <w:pPr>
              <w:spacing w:before="120"/>
              <w:jc w:val="both"/>
              <w:cnfStyle w:val="100000000000" w:firstRow="1" w:lastRow="0" w:firstColumn="0" w:lastColumn="0" w:oddVBand="0" w:evenVBand="0" w:oddHBand="0" w:evenHBand="0" w:firstRowFirstColumn="0" w:firstRowLastColumn="0" w:lastRowFirstColumn="0" w:lastRowLastColumn="0"/>
              <w:rPr>
                <w:rFonts w:cs="Times New Roman"/>
                <w:sz w:val="24"/>
                <w:szCs w:val="24"/>
                <w:lang w:val="en"/>
              </w:rPr>
            </w:pPr>
            <w:r w:rsidRPr="00112098">
              <w:rPr>
                <w:rFonts w:cs="Times New Roman"/>
                <w:sz w:val="24"/>
                <w:szCs w:val="24"/>
                <w:lang w:val="en"/>
              </w:rPr>
              <w:t>Status</w:t>
            </w:r>
          </w:p>
        </w:tc>
      </w:tr>
      <w:tr w:rsidR="00112098" w:rsidRPr="00112098" w:rsidTr="006B4458">
        <w:trPr>
          <w:cnfStyle w:val="000000100000" w:firstRow="0" w:lastRow="0" w:firstColumn="0" w:lastColumn="0" w:oddVBand="0" w:evenVBand="0" w:oddHBand="1"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spacing w:before="120"/>
              <w:jc w:val="both"/>
              <w:rPr>
                <w:sz w:val="24"/>
                <w:szCs w:val="24"/>
              </w:rPr>
            </w:pPr>
            <w:r w:rsidRPr="00112098">
              <w:rPr>
                <w:sz w:val="24"/>
                <w:szCs w:val="24"/>
              </w:rPr>
              <w:t xml:space="preserve">TM2.0 </w:t>
            </w:r>
            <w:hyperlink r:id="rId26" w:history="1">
              <w:r w:rsidRPr="00112098">
                <w:rPr>
                  <w:color w:val="0000FF" w:themeColor="hyperlink"/>
                  <w:sz w:val="24"/>
                  <w:szCs w:val="24"/>
                  <w:u w:val="single"/>
                </w:rPr>
                <w:t>http://tm20.org/</w:t>
              </w:r>
            </w:hyperlink>
          </w:p>
          <w:p w:rsidR="00112098" w:rsidRPr="00112098" w:rsidRDefault="00112098" w:rsidP="00112098">
            <w:pPr>
              <w:rPr>
                <w:rFonts w:cs="Times New Roman"/>
                <w:sz w:val="24"/>
                <w:szCs w:val="24"/>
                <w:lang w:val="en"/>
              </w:rPr>
            </w:pPr>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sz w:val="24"/>
                <w:szCs w:val="24"/>
              </w:rPr>
              <w:t>The overall objective of TM2.0 is to provide a discussion forum around the topic of interactive traffic management for all relevant stakeholders, in the entire Traffic Management Procedure value chain.</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lang w:val="en"/>
              </w:rPr>
            </w:pPr>
            <w:r w:rsidRPr="00112098">
              <w:rPr>
                <w:rFonts w:cs="Times New Roman"/>
                <w:sz w:val="24"/>
                <w:szCs w:val="24"/>
                <w:lang w:val="en"/>
              </w:rPr>
              <w:t>On-going</w:t>
            </w:r>
          </w:p>
        </w:tc>
      </w:tr>
      <w:tr w:rsidR="00112098" w:rsidRPr="00112098" w:rsidTr="006B445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rPr>
            </w:pPr>
            <w:r w:rsidRPr="00112098">
              <w:rPr>
                <w:sz w:val="24"/>
                <w:szCs w:val="24"/>
              </w:rPr>
              <w:t xml:space="preserve">TN-ITS </w:t>
            </w:r>
          </w:p>
          <w:p w:rsidR="00112098" w:rsidRPr="00112098" w:rsidRDefault="00112098" w:rsidP="00112098">
            <w:pPr>
              <w:spacing w:before="120"/>
              <w:jc w:val="both"/>
              <w:rPr>
                <w:rFonts w:cs="Times New Roman"/>
                <w:sz w:val="24"/>
                <w:szCs w:val="24"/>
                <w:lang w:val="en"/>
              </w:rPr>
            </w:pPr>
            <w:hyperlink r:id="rId27" w:history="1">
              <w:r w:rsidRPr="00112098">
                <w:rPr>
                  <w:rFonts w:cs="Times New Roman"/>
                  <w:color w:val="0000FF" w:themeColor="hyperlink"/>
                  <w:sz w:val="24"/>
                  <w:szCs w:val="24"/>
                  <w:u w:val="single"/>
                  <w:lang w:val="en"/>
                </w:rPr>
                <w:t>http://tn-its.eu/</w:t>
              </w:r>
            </w:hyperlink>
          </w:p>
        </w:tc>
        <w:tc>
          <w:tcPr>
            <w:tcW w:w="5437"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sz w:val="24"/>
                <w:szCs w:val="24"/>
              </w:rPr>
              <w:t>TN-</w:t>
            </w:r>
            <w:proofErr w:type="gramStart"/>
            <w:r w:rsidRPr="00112098">
              <w:rPr>
                <w:sz w:val="24"/>
                <w:szCs w:val="24"/>
              </w:rPr>
              <w:t>ITS is</w:t>
            </w:r>
            <w:proofErr w:type="gramEnd"/>
            <w:r w:rsidRPr="00112098">
              <w:rPr>
                <w:sz w:val="24"/>
                <w:szCs w:val="24"/>
              </w:rPr>
              <w:t xml:space="preserve"> a deployment platform to facilitate the provision and exchange of ITS spatial data between public authorities and third parties.</w:t>
            </w:r>
          </w:p>
        </w:tc>
        <w:tc>
          <w:tcPr>
            <w:tcW w:w="1475" w:type="dxa"/>
          </w:tcPr>
          <w:p w:rsidR="00112098" w:rsidRPr="00112098" w:rsidRDefault="00112098" w:rsidP="00112098">
            <w:pPr>
              <w:spacing w:before="120"/>
              <w:jc w:val="both"/>
              <w:cnfStyle w:val="000000010000" w:firstRow="0" w:lastRow="0" w:firstColumn="0" w:lastColumn="0" w:oddVBand="0" w:evenVBand="0" w:oddHBand="0" w:evenHBand="1" w:firstRowFirstColumn="0" w:firstRowLastColumn="0" w:lastRowFirstColumn="0" w:lastRowLastColumn="0"/>
              <w:rPr>
                <w:rFonts w:cs="Times New Roman"/>
                <w:sz w:val="24"/>
                <w:szCs w:val="24"/>
                <w:lang w:val="en"/>
              </w:rPr>
            </w:pPr>
            <w:r w:rsidRPr="00112098">
              <w:rPr>
                <w:rFonts w:cs="Times New Roman"/>
                <w:sz w:val="24"/>
                <w:szCs w:val="24"/>
                <w:lang w:val="en"/>
              </w:rPr>
              <w:t>Completed</w:t>
            </w:r>
          </w:p>
        </w:tc>
      </w:tr>
      <w:tr w:rsidR="00112098" w:rsidRPr="00112098" w:rsidTr="006B4458">
        <w:trPr>
          <w:cnfStyle w:val="000000100000" w:firstRow="0" w:lastRow="0" w:firstColumn="0" w:lastColumn="0" w:oddVBand="0" w:evenVBand="0" w:oddHBand="1" w:evenHBand="0" w:firstRowFirstColumn="0" w:firstRowLastColumn="0" w:lastRowFirstColumn="0" w:lastRowLastColumn="0"/>
          <w:trHeight w:val="684"/>
        </w:trPr>
        <w:tc>
          <w:tcPr>
            <w:cnfStyle w:val="001000000000" w:firstRow="0" w:lastRow="0" w:firstColumn="1" w:lastColumn="0" w:oddVBand="0" w:evenVBand="0" w:oddHBand="0" w:evenHBand="0" w:firstRowFirstColumn="0" w:firstRowLastColumn="0" w:lastRowFirstColumn="0" w:lastRowLastColumn="0"/>
            <w:tcW w:w="2268" w:type="dxa"/>
          </w:tcPr>
          <w:p w:rsidR="00112098" w:rsidRPr="00112098" w:rsidRDefault="00112098" w:rsidP="00112098">
            <w:pPr>
              <w:rPr>
                <w:sz w:val="24"/>
                <w:szCs w:val="24"/>
                <w:lang w:val="sv-SE"/>
              </w:rPr>
            </w:pPr>
            <w:r w:rsidRPr="00112098">
              <w:rPr>
                <w:sz w:val="24"/>
                <w:szCs w:val="24"/>
                <w:lang w:val="sv-SE"/>
              </w:rPr>
              <w:t xml:space="preserve">UTMC </w:t>
            </w:r>
          </w:p>
          <w:p w:rsidR="00112098" w:rsidRPr="00112098" w:rsidRDefault="00112098" w:rsidP="00112098">
            <w:pPr>
              <w:spacing w:before="120"/>
              <w:jc w:val="both"/>
              <w:rPr>
                <w:rFonts w:cs="Times New Roman"/>
                <w:sz w:val="24"/>
                <w:szCs w:val="24"/>
                <w:lang w:val="sv-SE"/>
              </w:rPr>
            </w:pPr>
            <w:hyperlink r:id="rId28" w:history="1">
              <w:r w:rsidRPr="00112098">
                <w:rPr>
                  <w:rFonts w:cs="Times New Roman"/>
                  <w:color w:val="0000FF" w:themeColor="hyperlink"/>
                  <w:sz w:val="24"/>
                  <w:szCs w:val="24"/>
                  <w:u w:val="single"/>
                  <w:lang w:val="sv-SE"/>
                </w:rPr>
                <w:t>https://www.utmc.eu/</w:t>
              </w:r>
            </w:hyperlink>
          </w:p>
        </w:tc>
        <w:tc>
          <w:tcPr>
            <w:tcW w:w="5437"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sz w:val="24"/>
                <w:szCs w:val="24"/>
              </w:rPr>
              <w:t>UTMC is a UK-based initiative which provides traffic managers with open technical specifications, supporting an innovative competitive marketplace and helping systems interwork effectively.</w:t>
            </w:r>
          </w:p>
        </w:tc>
        <w:tc>
          <w:tcPr>
            <w:tcW w:w="1475" w:type="dxa"/>
          </w:tcPr>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112098">
              <w:rPr>
                <w:rFonts w:cs="Times New Roman"/>
                <w:sz w:val="24"/>
                <w:szCs w:val="24"/>
              </w:rPr>
              <w:t>On-going</w:t>
            </w:r>
          </w:p>
          <w:p w:rsidR="00112098" w:rsidRPr="00112098" w:rsidRDefault="00112098" w:rsidP="00112098">
            <w:pPr>
              <w:spacing w:before="120"/>
              <w:jc w:val="both"/>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bl>
    <w:p w:rsidR="00112098" w:rsidRPr="00112098" w:rsidRDefault="00112098" w:rsidP="00112098">
      <w:pPr>
        <w:spacing w:before="120" w:line="240" w:lineRule="auto"/>
        <w:jc w:val="both"/>
        <w:rPr>
          <w:sz w:val="24"/>
          <w:szCs w:val="24"/>
        </w:rPr>
      </w:pPr>
    </w:p>
    <w:p w:rsidR="00D52FE1" w:rsidRDefault="00D52FE1"/>
    <w:sectPr w:rsidR="00D52FE1">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098" w:rsidRDefault="00112098" w:rsidP="00112098">
      <w:pPr>
        <w:spacing w:after="0" w:line="240" w:lineRule="auto"/>
      </w:pPr>
      <w:r>
        <w:separator/>
      </w:r>
    </w:p>
  </w:endnote>
  <w:endnote w:type="continuationSeparator" w:id="0">
    <w:p w:rsidR="00112098" w:rsidRDefault="00112098" w:rsidP="00112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856197"/>
      <w:docPartObj>
        <w:docPartGallery w:val="Page Numbers (Bottom of Page)"/>
        <w:docPartUnique/>
      </w:docPartObj>
    </w:sdtPr>
    <w:sdtEndPr>
      <w:rPr>
        <w:noProof/>
      </w:rPr>
    </w:sdtEndPr>
    <w:sdtContent>
      <w:p w:rsidR="00112098" w:rsidRDefault="00112098" w:rsidP="0011209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12098" w:rsidRDefault="00112098" w:rsidP="00112098">
    <w:pPr>
      <w:pStyle w:val="Footer"/>
    </w:pPr>
  </w:p>
  <w:p w:rsidR="00112098" w:rsidRDefault="00112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098" w:rsidRDefault="00112098" w:rsidP="00112098">
      <w:pPr>
        <w:spacing w:after="0" w:line="240" w:lineRule="auto"/>
      </w:pPr>
      <w:r>
        <w:separator/>
      </w:r>
    </w:p>
  </w:footnote>
  <w:footnote w:type="continuationSeparator" w:id="0">
    <w:p w:rsidR="00112098" w:rsidRDefault="00112098" w:rsidP="001120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12098"/>
    <w:rsid w:val="00112098"/>
    <w:rsid w:val="00D52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Shading1-Accent1">
    <w:name w:val="Medium Shading 1 Accent 1"/>
    <w:basedOn w:val="TableNormal"/>
    <w:uiPriority w:val="63"/>
    <w:rsid w:val="0011209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1120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2098"/>
  </w:style>
  <w:style w:type="paragraph" w:styleId="Footer">
    <w:name w:val="footer"/>
    <w:basedOn w:val="Normal"/>
    <w:link w:val="FooterChar"/>
    <w:uiPriority w:val="99"/>
    <w:unhideWhenUsed/>
    <w:rsid w:val="001120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20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Shading1-Accent1">
    <w:name w:val="Medium Shading 1 Accent 1"/>
    <w:basedOn w:val="TableNormal"/>
    <w:uiPriority w:val="63"/>
    <w:rsid w:val="0011209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1120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2098"/>
  </w:style>
  <w:style w:type="paragraph" w:styleId="Footer">
    <w:name w:val="footer"/>
    <w:basedOn w:val="Normal"/>
    <w:link w:val="FooterChar"/>
    <w:uiPriority w:val="99"/>
    <w:unhideWhenUsed/>
    <w:rsid w:val="001120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2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sterdamgroup.mett.nl/default.aspx" TargetMode="External"/><Relationship Id="rId13" Type="http://schemas.openxmlformats.org/officeDocument/2006/relationships/hyperlink" Target="http://www.autocits.eu" TargetMode="External"/><Relationship Id="rId18" Type="http://schemas.openxmlformats.org/officeDocument/2006/relationships/hyperlink" Target="https://www.c-roads.eu/" TargetMode="External"/><Relationship Id="rId26" Type="http://schemas.openxmlformats.org/officeDocument/2006/relationships/hyperlink" Target="http://tm20.org/" TargetMode="External"/><Relationship Id="rId3" Type="http://schemas.openxmlformats.org/officeDocument/2006/relationships/settings" Target="settings.xml"/><Relationship Id="rId21" Type="http://schemas.openxmlformats.org/officeDocument/2006/relationships/hyperlink" Target="http://connectedautomateddriving.eu/project/maven/" TargetMode="External"/><Relationship Id="rId7" Type="http://schemas.openxmlformats.org/officeDocument/2006/relationships/hyperlink" Target="https://www.amqp.org/" TargetMode="External"/><Relationship Id="rId12" Type="http://schemas.openxmlformats.org/officeDocument/2006/relationships/hyperlink" Target="http://www.car-to-car.org/" TargetMode="External"/><Relationship Id="rId17" Type="http://schemas.openxmlformats.org/officeDocument/2006/relationships/hyperlink" Target="http://www.codecs-project.eu" TargetMode="External"/><Relationship Id="rId25" Type="http://schemas.openxmlformats.org/officeDocument/2006/relationships/hyperlink" Target="http://www.itsstandards.eu/index.php/urban-its" TargetMode="External"/><Relationship Id="rId2" Type="http://schemas.microsoft.com/office/2007/relationships/stylesWithEffects" Target="stylesWithEffects.xml"/><Relationship Id="rId16" Type="http://schemas.openxmlformats.org/officeDocument/2006/relationships/hyperlink" Target="http://ertico.com/projects/c-mobile/" TargetMode="External"/><Relationship Id="rId20" Type="http://schemas.openxmlformats.org/officeDocument/2006/relationships/hyperlink" Target="http://www.drive-c2x.eu/project"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olisnetwork.eu/" TargetMode="External"/><Relationship Id="rId24" Type="http://schemas.openxmlformats.org/officeDocument/2006/relationships/hyperlink" Target="https://www.ntcip.org/" TargetMode="External"/><Relationship Id="rId5" Type="http://schemas.openxmlformats.org/officeDocument/2006/relationships/footnotes" Target="footnotes.xml"/><Relationship Id="rId15" Type="http://schemas.openxmlformats.org/officeDocument/2006/relationships/hyperlink" Target="http://cimec-project.eu" TargetMode="External"/><Relationship Id="rId23" Type="http://schemas.openxmlformats.org/officeDocument/2006/relationships/hyperlink" Target="http://vejdirektoratet.dk/EN/roadsector/Nordicway/Pages/Default.aspx" TargetMode="External"/><Relationship Id="rId28" Type="http://schemas.openxmlformats.org/officeDocument/2006/relationships/hyperlink" Target="https://www.utmc.eu/" TargetMode="External"/><Relationship Id="rId10" Type="http://schemas.openxmlformats.org/officeDocument/2006/relationships/hyperlink" Target="http://www.asecap.com/" TargetMode="External"/><Relationship Id="rId19" Type="http://schemas.openxmlformats.org/officeDocument/2006/relationships/hyperlink" Target="http://www.datex2.e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edr.fr/home/" TargetMode="External"/><Relationship Id="rId14" Type="http://schemas.openxmlformats.org/officeDocument/2006/relationships/hyperlink" Target="https://www.car-2-car.org/index.php?id=5" TargetMode="External"/><Relationship Id="rId22" Type="http://schemas.openxmlformats.org/officeDocument/2006/relationships/hyperlink" Target="http://www.mobinet.eu/" TargetMode="External"/><Relationship Id="rId27" Type="http://schemas.openxmlformats.org/officeDocument/2006/relationships/hyperlink" Target="http://tn-its.e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ROSADO BARRADAS Pedro Miguel (MOVE)</dc:creator>
  <cp:lastModifiedBy>ROSADO BARRADAS Pedro Miguel (MOVE)</cp:lastModifiedBy>
  <cp:revision>1</cp:revision>
  <dcterms:created xsi:type="dcterms:W3CDTF">2017-09-06T16:50:00Z</dcterms:created>
  <dcterms:modified xsi:type="dcterms:W3CDTF">2017-09-06T16:52:00Z</dcterms:modified>
</cp:coreProperties>
</file>