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6D6B" w14:textId="72540702" w:rsidR="00A67022" w:rsidRPr="00A67022" w:rsidRDefault="00A67022" w:rsidP="001B6CB1">
      <w:pPr>
        <w:spacing w:before="120" w:after="120"/>
        <w:jc w:val="center"/>
        <w:rPr>
          <w:noProof/>
          <w:szCs w:val="24"/>
          <w:u w:val="single"/>
        </w:rPr>
      </w:pPr>
    </w:p>
    <w:p w14:paraId="1C6A7186" w14:textId="70D6219F" w:rsidR="00D535F7" w:rsidRDefault="00A67022" w:rsidP="00D535F7">
      <w:pPr>
        <w:spacing w:before="120" w:after="120"/>
        <w:jc w:val="center"/>
        <w:rPr>
          <w:b/>
          <w:bCs/>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w:t>
      </w:r>
      <w:r w:rsidR="000057BF">
        <w:rPr>
          <w:b/>
          <w:bCs/>
          <w:noProof/>
          <w:szCs w:val="24"/>
        </w:rPr>
        <w:t xml:space="preserve">MEMBERS OF THE </w:t>
      </w:r>
      <w:bookmarkStart w:id="0" w:name="bookmark3"/>
      <w:r w:rsidR="00D535F7" w:rsidRPr="00D535F7">
        <w:rPr>
          <w:b/>
          <w:bCs/>
          <w:noProof/>
          <w:szCs w:val="24"/>
        </w:rPr>
        <w:t xml:space="preserve">SUB-GROUP </w:t>
      </w:r>
      <w:r w:rsidR="00434E64" w:rsidRPr="00D535F7">
        <w:rPr>
          <w:b/>
          <w:bCs/>
          <w:noProof/>
          <w:szCs w:val="24"/>
        </w:rPr>
        <w:t xml:space="preserve">TO THE EXPERT GROUP ON ROAD INFRASTRUCTURE SAFETY </w:t>
      </w:r>
      <w:r w:rsidR="00434E64">
        <w:rPr>
          <w:b/>
          <w:bCs/>
          <w:noProof/>
          <w:szCs w:val="24"/>
        </w:rPr>
        <w:t>ENTITLED</w:t>
      </w:r>
      <w:r w:rsidR="00D535F7" w:rsidRPr="00D535F7">
        <w:rPr>
          <w:b/>
          <w:bCs/>
          <w:noProof/>
          <w:szCs w:val="24"/>
        </w:rPr>
        <w:t xml:space="preserve"> “FORGIVING ROADSIDES AND SELF EXPLAINING AND SELF ENFORCING ROADS” </w:t>
      </w:r>
    </w:p>
    <w:p w14:paraId="485B6D6E" w14:textId="576120D3" w:rsidR="00A67022" w:rsidRPr="00D535F7" w:rsidRDefault="00A67022" w:rsidP="00D535F7">
      <w:pPr>
        <w:numPr>
          <w:ilvl w:val="0"/>
          <w:numId w:val="30"/>
        </w:numPr>
        <w:spacing w:before="120" w:after="120"/>
        <w:ind w:left="0" w:hanging="480"/>
        <w:rPr>
          <w:b/>
          <w:noProof/>
          <w:color w:val="000000"/>
          <w:szCs w:val="24"/>
          <w:lang w:val="en-US" w:eastAsia="en-GB"/>
        </w:rPr>
      </w:pPr>
      <w:r w:rsidRPr="00D535F7">
        <w:rPr>
          <w:b/>
          <w:noProof/>
          <w:color w:val="000000"/>
          <w:szCs w:val="24"/>
          <w:lang w:val="en-US" w:eastAsia="en-GB"/>
        </w:rPr>
        <w:t>Background</w:t>
      </w:r>
      <w:bookmarkEnd w:id="0"/>
    </w:p>
    <w:p w14:paraId="2C6A80E2" w14:textId="5FCD3ECB" w:rsidR="00830438" w:rsidRDefault="00D535F7" w:rsidP="001B6CB1">
      <w:pPr>
        <w:spacing w:before="120" w:after="120"/>
        <w:rPr>
          <w:noProof/>
          <w:szCs w:val="24"/>
        </w:rPr>
      </w:pPr>
      <w:r w:rsidRPr="00D535F7">
        <w:rPr>
          <w:noProof/>
          <w:szCs w:val="24"/>
        </w:rPr>
        <w:t>The Commission’s Directorate-General for Mobility and Transport (‘DG MOVE’)</w:t>
      </w:r>
      <w:r>
        <w:rPr>
          <w:noProof/>
          <w:szCs w:val="24"/>
        </w:rPr>
        <w:t xml:space="preserve"> </w:t>
      </w:r>
      <w:r w:rsidR="00A67022" w:rsidRPr="00A67022">
        <w:rPr>
          <w:noProof/>
          <w:szCs w:val="24"/>
        </w:rPr>
        <w:t xml:space="preserve">has set up </w:t>
      </w:r>
      <w:r>
        <w:rPr>
          <w:noProof/>
          <w:szCs w:val="24"/>
        </w:rPr>
        <w:t>the third</w:t>
      </w:r>
      <w:r w:rsidR="000057BF">
        <w:rPr>
          <w:noProof/>
          <w:szCs w:val="24"/>
        </w:rPr>
        <w:t xml:space="preserve"> </w:t>
      </w:r>
      <w:r>
        <w:rPr>
          <w:noProof/>
          <w:szCs w:val="24"/>
        </w:rPr>
        <w:t xml:space="preserve">sub-group to the </w:t>
      </w:r>
      <w:r w:rsidRPr="00D535F7">
        <w:rPr>
          <w:noProof/>
          <w:szCs w:val="24"/>
        </w:rPr>
        <w:t>Expert Group on Road Infrastructure Safety (</w:t>
      </w:r>
      <w:r w:rsidR="00BC39E1">
        <w:rPr>
          <w:noProof/>
          <w:szCs w:val="24"/>
        </w:rPr>
        <w:t>‘</w:t>
      </w:r>
      <w:r w:rsidRPr="00D535F7">
        <w:rPr>
          <w:noProof/>
          <w:szCs w:val="24"/>
        </w:rPr>
        <w:t>EGRIS</w:t>
      </w:r>
      <w:r w:rsidR="00BC39E1">
        <w:rPr>
          <w:noProof/>
          <w:szCs w:val="24"/>
        </w:rPr>
        <w:t>’</w:t>
      </w:r>
      <w:r w:rsidRPr="00D535F7">
        <w:rPr>
          <w:noProof/>
          <w:szCs w:val="24"/>
        </w:rPr>
        <w:t xml:space="preserve">) </w:t>
      </w:r>
      <w:r w:rsidR="00A67022" w:rsidRPr="00A67022">
        <w:rPr>
          <w:noProof/>
          <w:szCs w:val="24"/>
        </w:rPr>
        <w:t>(</w:t>
      </w:r>
      <w:r w:rsidR="00BC39E1">
        <w:rPr>
          <w:noProof/>
          <w:szCs w:val="24"/>
        </w:rPr>
        <w:t>‘</w:t>
      </w:r>
      <w:r w:rsidR="00A67022" w:rsidRPr="00A67022">
        <w:rPr>
          <w:noProof/>
          <w:szCs w:val="24"/>
        </w:rPr>
        <w:t xml:space="preserve">the </w:t>
      </w:r>
      <w:r>
        <w:rPr>
          <w:noProof/>
          <w:szCs w:val="24"/>
        </w:rPr>
        <w:t>sub-</w:t>
      </w:r>
      <w:r w:rsidR="00A67022" w:rsidRPr="00A67022">
        <w:rPr>
          <w:noProof/>
          <w:szCs w:val="24"/>
        </w:rPr>
        <w:t>group</w:t>
      </w:r>
      <w:r w:rsidR="00BC39E1">
        <w:rPr>
          <w:noProof/>
          <w:szCs w:val="24"/>
        </w:rPr>
        <w:t>’</w:t>
      </w:r>
      <w:r w:rsidR="00A67022" w:rsidRPr="00A67022">
        <w:rPr>
          <w:noProof/>
          <w:szCs w:val="24"/>
        </w:rPr>
        <w:t>)</w:t>
      </w:r>
      <w:r w:rsidR="00BC39E1">
        <w:rPr>
          <w:noProof/>
          <w:szCs w:val="24"/>
        </w:rPr>
        <w:t xml:space="preserve"> in 2019</w:t>
      </w:r>
      <w:r w:rsidR="00A67022" w:rsidRPr="00A67022">
        <w:rPr>
          <w:noProof/>
          <w:szCs w:val="24"/>
        </w:rPr>
        <w:t>.</w:t>
      </w:r>
      <w:r w:rsidR="00CC1A91">
        <w:rPr>
          <w:noProof/>
          <w:szCs w:val="24"/>
        </w:rPr>
        <w:t xml:space="preserve"> </w:t>
      </w:r>
    </w:p>
    <w:p w14:paraId="758ADF7D" w14:textId="3B6192B4" w:rsidR="00830438" w:rsidRDefault="00830438" w:rsidP="001B6CB1">
      <w:pPr>
        <w:spacing w:before="120" w:after="120"/>
        <w:rPr>
          <w:noProof/>
          <w:szCs w:val="24"/>
        </w:rPr>
      </w:pPr>
      <w:r>
        <w:rPr>
          <w:noProof/>
          <w:szCs w:val="24"/>
        </w:rPr>
        <w:t>The sub-group sh</w:t>
      </w:r>
      <w:r w:rsidR="00F82CFA">
        <w:rPr>
          <w:noProof/>
          <w:szCs w:val="24"/>
        </w:rPr>
        <w:t>all</w:t>
      </w:r>
      <w:r>
        <w:rPr>
          <w:noProof/>
          <w:szCs w:val="24"/>
        </w:rPr>
        <w:t xml:space="preserve"> participate and provide expertise in the application of article 4(6) of Directive 2008/96/EC</w:t>
      </w:r>
      <w:r>
        <w:rPr>
          <w:rStyle w:val="FootnoteReference"/>
          <w:noProof/>
          <w:szCs w:val="24"/>
        </w:rPr>
        <w:footnoteReference w:id="1"/>
      </w:r>
      <w:r>
        <w:rPr>
          <w:noProof/>
          <w:szCs w:val="24"/>
        </w:rPr>
        <w:t xml:space="preserve"> on road infrastructure safety management, regarding</w:t>
      </w:r>
      <w:r w:rsidRPr="00830438">
        <w:t xml:space="preserve"> </w:t>
      </w:r>
      <w:r w:rsidRPr="00830438">
        <w:rPr>
          <w:noProof/>
          <w:szCs w:val="24"/>
        </w:rPr>
        <w:t>the design of the forgiving roadsides, self-explaining and self-enforcing roads as well as quality requirements for the road users</w:t>
      </w:r>
      <w:r>
        <w:rPr>
          <w:noProof/>
          <w:szCs w:val="24"/>
        </w:rPr>
        <w:t xml:space="preserve">. An initial </w:t>
      </w:r>
      <w:r w:rsidRPr="00D85ECF">
        <w:rPr>
          <w:noProof/>
          <w:szCs w:val="24"/>
        </w:rPr>
        <w:t>call for applications</w:t>
      </w:r>
      <w:r>
        <w:rPr>
          <w:noProof/>
          <w:szCs w:val="24"/>
        </w:rPr>
        <w:t xml:space="preserve"> was </w:t>
      </w:r>
      <w:r w:rsidRPr="00D85ECF">
        <w:rPr>
          <w:noProof/>
          <w:szCs w:val="24"/>
        </w:rPr>
        <w:t>launched in 2021</w:t>
      </w:r>
      <w:r>
        <w:rPr>
          <w:noProof/>
          <w:szCs w:val="24"/>
        </w:rPr>
        <w:t>, aiming at bringing in the sub-group members with valuable experience in the design of safe infrastructure.</w:t>
      </w:r>
    </w:p>
    <w:p w14:paraId="73A6FFB4" w14:textId="7AAC3AE5" w:rsidR="002B3BDA" w:rsidRDefault="00017F87" w:rsidP="001B6CB1">
      <w:pPr>
        <w:spacing w:before="120" w:after="120"/>
        <w:rPr>
          <w:noProof/>
          <w:szCs w:val="24"/>
        </w:rPr>
      </w:pPr>
      <w:r>
        <w:rPr>
          <w:noProof/>
          <w:szCs w:val="24"/>
        </w:rPr>
        <w:t>For a meaningful work of the sub-group, which</w:t>
      </w:r>
      <w:r w:rsidR="002B3BDA">
        <w:rPr>
          <w:noProof/>
          <w:szCs w:val="24"/>
        </w:rPr>
        <w:t xml:space="preserve"> better address</w:t>
      </w:r>
      <w:r w:rsidR="00DB574D">
        <w:rPr>
          <w:noProof/>
          <w:szCs w:val="24"/>
        </w:rPr>
        <w:t>es</w:t>
      </w:r>
      <w:r w:rsidR="002B3BDA">
        <w:rPr>
          <w:noProof/>
          <w:szCs w:val="24"/>
        </w:rPr>
        <w:t xml:space="preserve"> the </w:t>
      </w:r>
      <w:r>
        <w:rPr>
          <w:noProof/>
          <w:szCs w:val="24"/>
        </w:rPr>
        <w:t xml:space="preserve">infrastructure for the vulnerable road users, the network-wide road safety assessment methodology and, when available, the results of classification of the roads based on risk for safety should be considered. This input data will enable the experts to identify the risk factors present on the dangerous sections of the road and to propose guidance on corrective measures. In addition, digitalisation </w:t>
      </w:r>
      <w:r w:rsidR="008B50D4">
        <w:rPr>
          <w:noProof/>
          <w:szCs w:val="24"/>
        </w:rPr>
        <w:t>aspect could also be considered in the</w:t>
      </w:r>
      <w:r>
        <w:rPr>
          <w:noProof/>
          <w:szCs w:val="24"/>
        </w:rPr>
        <w:t xml:space="preserve"> guidance</w:t>
      </w:r>
      <w:r w:rsidR="008B50D4">
        <w:rPr>
          <w:noProof/>
          <w:szCs w:val="24"/>
        </w:rPr>
        <w:t>,</w:t>
      </w:r>
      <w:r>
        <w:rPr>
          <w:noProof/>
          <w:szCs w:val="24"/>
        </w:rPr>
        <w:t xml:space="preserve"> </w:t>
      </w:r>
      <w:r w:rsidR="008B50D4">
        <w:rPr>
          <w:noProof/>
          <w:szCs w:val="24"/>
        </w:rPr>
        <w:t>if this would prove to add value to the safety</w:t>
      </w:r>
      <w:r>
        <w:rPr>
          <w:noProof/>
          <w:szCs w:val="24"/>
        </w:rPr>
        <w:t>.</w:t>
      </w:r>
    </w:p>
    <w:p w14:paraId="7816939E" w14:textId="43BCEA6F" w:rsidR="00EC139E" w:rsidRPr="00A67022" w:rsidRDefault="002B3BDA" w:rsidP="001B6CB1">
      <w:pPr>
        <w:spacing w:before="120" w:after="120"/>
        <w:rPr>
          <w:noProof/>
          <w:szCs w:val="24"/>
        </w:rPr>
      </w:pPr>
      <w:r>
        <w:rPr>
          <w:noProof/>
          <w:szCs w:val="24"/>
        </w:rPr>
        <w:t>T</w:t>
      </w:r>
      <w:r w:rsidR="00830438">
        <w:rPr>
          <w:noProof/>
          <w:szCs w:val="24"/>
        </w:rPr>
        <w:t xml:space="preserve">he safety of the vulnerable road users is </w:t>
      </w:r>
      <w:r>
        <w:rPr>
          <w:noProof/>
          <w:szCs w:val="24"/>
        </w:rPr>
        <w:t xml:space="preserve">also </w:t>
      </w:r>
      <w:r w:rsidR="00EC139E">
        <w:rPr>
          <w:noProof/>
          <w:szCs w:val="24"/>
        </w:rPr>
        <w:t xml:space="preserve">highly </w:t>
      </w:r>
      <w:r w:rsidR="00830438">
        <w:rPr>
          <w:noProof/>
          <w:szCs w:val="24"/>
        </w:rPr>
        <w:t xml:space="preserve">relevant in </w:t>
      </w:r>
      <w:r>
        <w:rPr>
          <w:noProof/>
          <w:szCs w:val="24"/>
        </w:rPr>
        <w:t xml:space="preserve">the </w:t>
      </w:r>
      <w:r w:rsidR="00830438">
        <w:rPr>
          <w:noProof/>
          <w:szCs w:val="24"/>
        </w:rPr>
        <w:t>urban environment</w:t>
      </w:r>
      <w:r w:rsidR="00EC139E">
        <w:rPr>
          <w:noProof/>
          <w:szCs w:val="24"/>
        </w:rPr>
        <w:t xml:space="preserve">, where this category of users is mostly present. This reason requires a particular focus on </w:t>
      </w:r>
      <w:r w:rsidR="00E72E12">
        <w:rPr>
          <w:noProof/>
          <w:szCs w:val="24"/>
        </w:rPr>
        <w:t xml:space="preserve">aspects of urban environment, as well as the </w:t>
      </w:r>
      <w:r w:rsidR="00EC139E">
        <w:rPr>
          <w:noProof/>
          <w:szCs w:val="24"/>
        </w:rPr>
        <w:t>interaction with other relevant expert groups of the Commission</w:t>
      </w:r>
      <w:r w:rsidR="00DF331A">
        <w:rPr>
          <w:noProof/>
          <w:szCs w:val="24"/>
        </w:rPr>
        <w:t xml:space="preserve"> that address the vulnerable road users</w:t>
      </w:r>
      <w:r w:rsidR="00EC139E">
        <w:rPr>
          <w:noProof/>
          <w:szCs w:val="24"/>
        </w:rPr>
        <w:t xml:space="preserve">, in particular with the </w:t>
      </w:r>
      <w:r w:rsidR="00EC139E" w:rsidRPr="00EC139E">
        <w:rPr>
          <w:noProof/>
          <w:szCs w:val="24"/>
        </w:rPr>
        <w:t>Expert Group on Urban Mobility</w:t>
      </w:r>
      <w:r w:rsidR="00EC139E">
        <w:rPr>
          <w:noProof/>
          <w:szCs w:val="24"/>
        </w:rPr>
        <w:t>, created in 2022.</w:t>
      </w:r>
      <w:r w:rsidR="00DF331A">
        <w:rPr>
          <w:noProof/>
          <w:szCs w:val="24"/>
        </w:rPr>
        <w:t xml:space="preserve"> This new call aims at </w:t>
      </w:r>
      <w:r>
        <w:rPr>
          <w:noProof/>
          <w:szCs w:val="24"/>
        </w:rPr>
        <w:t>expanding the expertise and at completing</w:t>
      </w:r>
      <w:r w:rsidR="00DF331A">
        <w:rPr>
          <w:noProof/>
          <w:szCs w:val="24"/>
        </w:rPr>
        <w:t xml:space="preserve"> the initial call</w:t>
      </w:r>
      <w:r w:rsidR="00E72E12">
        <w:rPr>
          <w:noProof/>
          <w:szCs w:val="24"/>
        </w:rPr>
        <w:t xml:space="preserve"> with possible applicants</w:t>
      </w:r>
      <w:r w:rsidR="00DF331A">
        <w:rPr>
          <w:noProof/>
          <w:szCs w:val="24"/>
        </w:rPr>
        <w:t xml:space="preserve"> with expertise in the urban environment</w:t>
      </w:r>
      <w:r w:rsidR="00E72E12">
        <w:rPr>
          <w:noProof/>
          <w:szCs w:val="24"/>
        </w:rPr>
        <w:t>.</w:t>
      </w:r>
    </w:p>
    <w:p w14:paraId="61DE37AE" w14:textId="36216755" w:rsidR="00D535F7" w:rsidRDefault="00A67022" w:rsidP="00D535F7">
      <w:pPr>
        <w:spacing w:before="120" w:after="120"/>
        <w:rPr>
          <w:noProof/>
          <w:szCs w:val="24"/>
        </w:rPr>
      </w:pPr>
      <w:r w:rsidRPr="00A67022">
        <w:rPr>
          <w:noProof/>
          <w:szCs w:val="24"/>
        </w:rPr>
        <w:t xml:space="preserve">The </w:t>
      </w:r>
      <w:r w:rsidR="00D535F7" w:rsidRPr="00D535F7">
        <w:rPr>
          <w:noProof/>
          <w:szCs w:val="24"/>
        </w:rPr>
        <w:t>sub-group</w:t>
      </w:r>
      <w:r w:rsidRPr="00A67022">
        <w:rPr>
          <w:noProof/>
          <w:szCs w:val="24"/>
        </w:rPr>
        <w:t>’s tasks shall be</w:t>
      </w:r>
      <w:r w:rsidR="00907416">
        <w:rPr>
          <w:noProof/>
          <w:szCs w:val="24"/>
        </w:rPr>
        <w:t>:</w:t>
      </w:r>
    </w:p>
    <w:p w14:paraId="56A55E7B" w14:textId="11A20507" w:rsidR="00D535F7" w:rsidRPr="00D535F7" w:rsidRDefault="00D535F7" w:rsidP="003D0BDF">
      <w:pPr>
        <w:spacing w:before="120" w:after="120"/>
        <w:ind w:left="567" w:hanging="567"/>
        <w:rPr>
          <w:noProof/>
          <w:szCs w:val="24"/>
        </w:rPr>
      </w:pPr>
      <w:r w:rsidRPr="00D535F7">
        <w:rPr>
          <w:noProof/>
          <w:szCs w:val="24"/>
        </w:rPr>
        <w:t>(a)</w:t>
      </w:r>
      <w:r w:rsidRPr="00D535F7">
        <w:rPr>
          <w:noProof/>
          <w:szCs w:val="24"/>
        </w:rPr>
        <w:tab/>
        <w:t>provide DG MOVE with advice and expertise in relation to the design of ‘forgiving roadsides’ and ‘self-explaining and self-enforcing roads’, as well as guidance on quality requirements regarding vulnerable road users, in accordance with Art 4(6) of Directive 2008/96/EC;</w:t>
      </w:r>
    </w:p>
    <w:p w14:paraId="2126812F" w14:textId="323582AD" w:rsidR="00D535F7" w:rsidRPr="00D535F7" w:rsidRDefault="00D535F7" w:rsidP="003D0BDF">
      <w:pPr>
        <w:spacing w:before="120" w:after="120"/>
        <w:ind w:left="567" w:hanging="567"/>
        <w:rPr>
          <w:noProof/>
          <w:szCs w:val="24"/>
        </w:rPr>
      </w:pPr>
      <w:r w:rsidRPr="00D535F7">
        <w:rPr>
          <w:noProof/>
          <w:szCs w:val="24"/>
        </w:rPr>
        <w:t>(b)</w:t>
      </w:r>
      <w:r w:rsidRPr="00D535F7">
        <w:rPr>
          <w:noProof/>
          <w:szCs w:val="24"/>
        </w:rPr>
        <w:tab/>
        <w:t xml:space="preserve">assist DG MOVE in the development of guidance in the field of forgiving roadsides’ and ‘self-explaining and self-enforcing roads’, as well as quality requirements for vulnerable road users; </w:t>
      </w:r>
    </w:p>
    <w:p w14:paraId="485B6D70" w14:textId="32FD1398" w:rsidR="00A67022" w:rsidRPr="00A67022" w:rsidRDefault="00D535F7" w:rsidP="003D0BDF">
      <w:pPr>
        <w:spacing w:before="120" w:after="120"/>
        <w:ind w:left="567" w:hanging="567"/>
        <w:rPr>
          <w:noProof/>
          <w:szCs w:val="24"/>
        </w:rPr>
      </w:pPr>
      <w:r w:rsidRPr="00D535F7">
        <w:rPr>
          <w:noProof/>
          <w:szCs w:val="24"/>
        </w:rPr>
        <w:t>(c)</w:t>
      </w:r>
      <w:r w:rsidRPr="00D535F7">
        <w:rPr>
          <w:noProof/>
          <w:szCs w:val="24"/>
        </w:rPr>
        <w:tab/>
        <w:t xml:space="preserve">bring about an exchange of experience and good practice in the field of forgiving roadsides’ and ‘self-explaining and self-enforcing roads’, as well as quality </w:t>
      </w:r>
      <w:r w:rsidRPr="00D535F7">
        <w:rPr>
          <w:noProof/>
          <w:szCs w:val="24"/>
        </w:rPr>
        <w:lastRenderedPageBreak/>
        <w:t>requirements for vulnerable users, in cooperation with other relevant Commission expert groups and similar bodies, including the Expert Group on Urban Mobility.</w:t>
      </w:r>
      <w:r w:rsidR="003D0BDF" w:rsidRPr="00A67022">
        <w:rPr>
          <w:noProof/>
          <w:szCs w:val="24"/>
        </w:rPr>
        <w:t xml:space="preserve"> </w:t>
      </w:r>
    </w:p>
    <w:p w14:paraId="485B6D71" w14:textId="07231FB3" w:rsidR="00A67022" w:rsidRPr="00A67022" w:rsidRDefault="00A67022" w:rsidP="001B6CB1">
      <w:pPr>
        <w:spacing w:before="120" w:after="120"/>
        <w:rPr>
          <w:noProof/>
          <w:szCs w:val="24"/>
        </w:rPr>
      </w:pPr>
      <w:r w:rsidRPr="00A67022">
        <w:rPr>
          <w:noProof/>
          <w:szCs w:val="24"/>
        </w:rPr>
        <w:t xml:space="preserve">The Commission is calling for applications with a view to selecting members of the </w:t>
      </w:r>
      <w:r w:rsidR="003D0BDF">
        <w:rPr>
          <w:noProof/>
          <w:szCs w:val="24"/>
        </w:rPr>
        <w:t>sub-</w:t>
      </w:r>
      <w:r w:rsidRPr="00A67022">
        <w:rPr>
          <w:noProof/>
          <w:szCs w:val="24"/>
        </w:rPr>
        <w:t>group other than Member States' authorities</w:t>
      </w:r>
      <w:r w:rsidR="00BC39E1">
        <w:rPr>
          <w:noProof/>
          <w:szCs w:val="24"/>
        </w:rPr>
        <w:t xml:space="preserve"> and </w:t>
      </w:r>
      <w:r w:rsidRPr="00A67022">
        <w:rPr>
          <w:noProof/>
          <w:szCs w:val="24"/>
        </w:rPr>
        <w:t>other public entities.</w:t>
      </w:r>
    </w:p>
    <w:p w14:paraId="485B6D72" w14:textId="536EE729" w:rsidR="00A67022" w:rsidRPr="00A67022" w:rsidRDefault="00A67022" w:rsidP="001B6CB1">
      <w:pPr>
        <w:numPr>
          <w:ilvl w:val="0"/>
          <w:numId w:val="30"/>
        </w:numPr>
        <w:spacing w:before="120" w:after="120"/>
        <w:ind w:left="0" w:hanging="480"/>
        <w:rPr>
          <w:b/>
          <w:noProof/>
          <w:szCs w:val="24"/>
          <w:lang w:eastAsia="de-DE"/>
        </w:rPr>
      </w:pPr>
      <w:r w:rsidRPr="00A67022">
        <w:rPr>
          <w:b/>
          <w:noProof/>
          <w:color w:val="000000"/>
          <w:szCs w:val="24"/>
          <w:lang w:val="en-US" w:eastAsia="en-GB"/>
        </w:rPr>
        <w:t xml:space="preserve">Features of the </w:t>
      </w:r>
      <w:r w:rsidR="00037254" w:rsidRPr="00037254">
        <w:rPr>
          <w:b/>
          <w:noProof/>
          <w:color w:val="000000"/>
          <w:szCs w:val="24"/>
          <w:lang w:val="en-US" w:eastAsia="en-GB"/>
        </w:rPr>
        <w:t>sub-group</w:t>
      </w:r>
    </w:p>
    <w:p w14:paraId="48879078" w14:textId="503CE930" w:rsidR="00377578" w:rsidRPr="00377578" w:rsidRDefault="00A67022" w:rsidP="001B6CB1">
      <w:pPr>
        <w:spacing w:before="120" w:after="120"/>
        <w:rPr>
          <w:b/>
          <w:smallCaps/>
          <w:noProof/>
          <w:color w:val="000000"/>
          <w:szCs w:val="24"/>
          <w:shd w:val="clear" w:color="auto" w:fill="FFFFFF"/>
          <w:lang w:val="en-US"/>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031B9A78" w14:textId="0F95DC27" w:rsidR="007403AC" w:rsidRPr="007403AC" w:rsidRDefault="007403AC" w:rsidP="007403AC">
      <w:pPr>
        <w:spacing w:before="120" w:after="120"/>
        <w:rPr>
          <w:noProof/>
          <w:szCs w:val="24"/>
        </w:rPr>
      </w:pPr>
      <w:r w:rsidRPr="007403AC">
        <w:rPr>
          <w:noProof/>
          <w:szCs w:val="24"/>
        </w:rPr>
        <w:t xml:space="preserve">Members shall be Member States’ authorities and organisations active in the field of road safety policies and measures, road design, road equipment and infrastructure, connected and automated mobility and intelligent transport systems, quality requirements for vulnerable road users, as well as aspects relating to the interaction of those. </w:t>
      </w:r>
    </w:p>
    <w:p w14:paraId="33AC4CA4" w14:textId="5A683458" w:rsidR="007403AC" w:rsidRPr="007403AC" w:rsidRDefault="007403AC" w:rsidP="007403AC">
      <w:pPr>
        <w:spacing w:before="120" w:after="120"/>
        <w:rPr>
          <w:noProof/>
          <w:szCs w:val="24"/>
        </w:rPr>
      </w:pPr>
      <w:r w:rsidRPr="007403AC">
        <w:rPr>
          <w:noProof/>
          <w:szCs w:val="24"/>
        </w:rPr>
        <w:t xml:space="preserve">Member States’ authorities and organisations shall nominate their representatives and shall be responsible for ensuring that their representatives provide a high level of expertise. DG MOVE may refuse the nomination by an organisation of a representative if it considers this nomination inappropriate in the light of the requirements specified in </w:t>
      </w:r>
      <w:r w:rsidR="00BC39E1">
        <w:rPr>
          <w:noProof/>
          <w:szCs w:val="24"/>
        </w:rPr>
        <w:t>chapter 4 of this</w:t>
      </w:r>
      <w:r w:rsidR="00BC39E1" w:rsidRPr="007403AC">
        <w:rPr>
          <w:noProof/>
          <w:szCs w:val="24"/>
        </w:rPr>
        <w:t xml:space="preserve"> </w:t>
      </w:r>
      <w:r w:rsidRPr="007403AC">
        <w:rPr>
          <w:noProof/>
          <w:szCs w:val="24"/>
        </w:rPr>
        <w:t>call. In such case, the organisation concerned shall be asked to appoint another representative.</w:t>
      </w:r>
      <w:r w:rsidRPr="007403AC">
        <w:rPr>
          <w:b/>
          <w:smallCaps/>
          <w:noProof/>
          <w:szCs w:val="24"/>
        </w:rPr>
        <w:t xml:space="preserve"> </w:t>
      </w:r>
    </w:p>
    <w:p w14:paraId="485B6D78" w14:textId="3A06D87F" w:rsidR="00A67022" w:rsidRPr="00A67022" w:rsidRDefault="00A67022" w:rsidP="007403AC">
      <w:pPr>
        <w:spacing w:before="120" w:after="120"/>
        <w:rPr>
          <w:b/>
          <w:smallCaps/>
          <w:noProof/>
          <w:szCs w:val="24"/>
        </w:rPr>
      </w:pPr>
      <w:r w:rsidRPr="00A67022">
        <w:rPr>
          <w:b/>
          <w:smallCaps/>
          <w:noProof/>
          <w:szCs w:val="24"/>
        </w:rPr>
        <w:t>2.2.</w:t>
      </w:r>
      <w:r w:rsidRPr="00A67022">
        <w:rPr>
          <w:b/>
          <w:smallCaps/>
          <w:noProof/>
          <w:szCs w:val="24"/>
        </w:rPr>
        <w:tab/>
        <w:t>Appointment</w:t>
      </w:r>
    </w:p>
    <w:p w14:paraId="485B6D79" w14:textId="2FBB1CBC" w:rsidR="00A67022" w:rsidRPr="00A67022" w:rsidRDefault="00A67022" w:rsidP="001B6CB1">
      <w:pPr>
        <w:spacing w:before="120" w:after="120"/>
        <w:rPr>
          <w:noProof/>
          <w:color w:val="000000"/>
          <w:sz w:val="23"/>
          <w:szCs w:val="23"/>
          <w:lang w:val="en-US" w:eastAsia="en-GB"/>
        </w:rPr>
      </w:pPr>
      <w:r w:rsidRPr="00A67022">
        <w:rPr>
          <w:noProof/>
          <w:szCs w:val="24"/>
        </w:rPr>
        <w:t>Members shall be appointed by the Director</w:t>
      </w:r>
      <w:r w:rsidR="00EC5601">
        <w:rPr>
          <w:noProof/>
          <w:szCs w:val="24"/>
        </w:rPr>
        <w:t>-</w:t>
      </w:r>
      <w:r w:rsidRPr="00A67022">
        <w:rPr>
          <w:noProof/>
          <w:szCs w:val="24"/>
        </w:rPr>
        <w:t xml:space="preserve">General of DG </w:t>
      </w:r>
      <w:r w:rsidR="00907416">
        <w:rPr>
          <w:noProof/>
          <w:szCs w:val="24"/>
        </w:rPr>
        <w:t>MOVE</w:t>
      </w:r>
      <w:r w:rsidRPr="00A67022">
        <w:rPr>
          <w:noProof/>
          <w:szCs w:val="24"/>
        </w:rPr>
        <w:t xml:space="preserve"> from applicants complying with the requirements referred to in chapter 4 of this call.</w:t>
      </w:r>
    </w:p>
    <w:p w14:paraId="485B6D7A" w14:textId="029179E5" w:rsidR="00A67022" w:rsidRDefault="00A67022" w:rsidP="001B6CB1">
      <w:pPr>
        <w:spacing w:before="120" w:after="120"/>
        <w:rPr>
          <w:noProof/>
          <w:szCs w:val="24"/>
        </w:rPr>
      </w:pPr>
      <w:r w:rsidRPr="00A67022">
        <w:rPr>
          <w:noProof/>
          <w:szCs w:val="24"/>
        </w:rPr>
        <w:t xml:space="preserve">Members shall be appointed for </w:t>
      </w:r>
      <w:r w:rsidR="00907416">
        <w:rPr>
          <w:noProof/>
          <w:szCs w:val="24"/>
        </w:rPr>
        <w:t>5</w:t>
      </w:r>
      <w:r w:rsidRPr="00A67022">
        <w:rPr>
          <w:noProof/>
          <w:szCs w:val="24"/>
        </w:rPr>
        <w:t xml:space="preserve"> years. They shall remain in office until </w:t>
      </w:r>
      <w:r w:rsidR="00BC39E1">
        <w:rPr>
          <w:noProof/>
          <w:szCs w:val="24"/>
        </w:rPr>
        <w:t xml:space="preserve">replaced or until </w:t>
      </w:r>
      <w:r w:rsidRPr="00A67022">
        <w:rPr>
          <w:noProof/>
          <w:szCs w:val="24"/>
        </w:rPr>
        <w:t>the end of their term of office. Their term of office may be renewed.</w:t>
      </w:r>
    </w:p>
    <w:p w14:paraId="21FDFD91" w14:textId="6005F415" w:rsidR="00C27C0B" w:rsidRPr="00A67022" w:rsidRDefault="00C27C0B" w:rsidP="001B6CB1">
      <w:pPr>
        <w:spacing w:before="120" w:after="120"/>
        <w:rPr>
          <w:noProof/>
          <w:szCs w:val="24"/>
        </w:rPr>
      </w:pPr>
      <w:r w:rsidRPr="00A67022">
        <w:rPr>
          <w:noProof/>
          <w:szCs w:val="24"/>
        </w:rPr>
        <w:t>Registration in the Transparency Register</w:t>
      </w:r>
      <w:r>
        <w:rPr>
          <w:rStyle w:val="FootnoteReference"/>
          <w:noProof/>
          <w:szCs w:val="24"/>
        </w:rPr>
        <w:footnoteReference w:id="2"/>
      </w:r>
      <w:r w:rsidRPr="00A67022">
        <w:rPr>
          <w:noProof/>
          <w:szCs w:val="24"/>
        </w:rPr>
        <w:t xml:space="preserve"> is required in order for organisations to be appointed.</w:t>
      </w:r>
    </w:p>
    <w:p w14:paraId="485B6D7E" w14:textId="2961F888" w:rsidR="00A67022" w:rsidRPr="00A67022" w:rsidRDefault="00A67022" w:rsidP="00034001">
      <w:pPr>
        <w:spacing w:before="120" w:after="120"/>
        <w:rPr>
          <w:noProof/>
          <w:szCs w:val="24"/>
        </w:rPr>
      </w:pPr>
      <w:r w:rsidRPr="00A67022">
        <w:rPr>
          <w:noProof/>
          <w:szCs w:val="24"/>
        </w:rPr>
        <w:t xml:space="preserve">Members who are no longer capable of contributing effectively to the </w:t>
      </w:r>
      <w:r w:rsidR="00037254" w:rsidRPr="00037254">
        <w:rPr>
          <w:noProof/>
          <w:szCs w:val="24"/>
        </w:rPr>
        <w:t>sub-group</w:t>
      </w:r>
      <w:r w:rsidRPr="00A67022">
        <w:rPr>
          <w:noProof/>
          <w:szCs w:val="24"/>
        </w:rPr>
        <w:t xml:space="preserve">’s deliberations, who in the opinion of DG </w:t>
      </w:r>
      <w:r w:rsidR="007403AC">
        <w:rPr>
          <w:noProof/>
          <w:szCs w:val="24"/>
        </w:rPr>
        <w:t>MOVE</w:t>
      </w:r>
      <w:r w:rsidRPr="00A67022">
        <w:rPr>
          <w:noProof/>
          <w:szCs w:val="24"/>
        </w:rPr>
        <w:t xml:space="preserve"> do not comply with the conditions set out in Article 339 of the Treaty on the </w:t>
      </w:r>
      <w:r w:rsidR="00391DD1">
        <w:rPr>
          <w:noProof/>
          <w:szCs w:val="24"/>
        </w:rPr>
        <w:t>F</w:t>
      </w:r>
      <w:r w:rsidRPr="00A67022">
        <w:rPr>
          <w:noProof/>
          <w:szCs w:val="24"/>
        </w:rPr>
        <w:t xml:space="preserve">unctioning of the European Union or who resign, shall no longer be invited to participate in any meetings of the </w:t>
      </w:r>
      <w:r w:rsidR="00037254" w:rsidRPr="00037254">
        <w:rPr>
          <w:noProof/>
          <w:szCs w:val="24"/>
        </w:rPr>
        <w:t xml:space="preserve">sub-group </w:t>
      </w:r>
      <w:r w:rsidRPr="00A67022">
        <w:rPr>
          <w:noProof/>
          <w:szCs w:val="24"/>
        </w:rPr>
        <w:t>and may be replaced for the remainder of their term of office.</w:t>
      </w:r>
    </w:p>
    <w:p w14:paraId="485B6D7F" w14:textId="5323C668"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 xml:space="preserve">Rules of engagement and operation of the </w:t>
      </w:r>
      <w:r w:rsidR="0087370D">
        <w:rPr>
          <w:b/>
          <w:bCs/>
          <w:smallCaps/>
          <w:noProof/>
          <w:color w:val="000000"/>
          <w:szCs w:val="24"/>
          <w:lang w:val="en-US" w:eastAsia="en-GB"/>
        </w:rPr>
        <w:t>sub-</w:t>
      </w:r>
      <w:r w:rsidR="0087370D" w:rsidRPr="00A67022">
        <w:rPr>
          <w:b/>
          <w:bCs/>
          <w:smallCaps/>
          <w:noProof/>
          <w:color w:val="000000"/>
          <w:szCs w:val="24"/>
          <w:lang w:val="en-US" w:eastAsia="en-GB"/>
        </w:rPr>
        <w:t>group</w:t>
      </w:r>
      <w:r w:rsidR="0087370D" w:rsidRPr="00A67022">
        <w:rPr>
          <w:b/>
          <w:bCs/>
          <w:noProof/>
          <w:color w:val="000000"/>
          <w:szCs w:val="24"/>
          <w:lang w:val="en-US" w:eastAsia="en-GB"/>
        </w:rPr>
        <w:t xml:space="preserve"> </w:t>
      </w:r>
    </w:p>
    <w:p w14:paraId="485B6D80" w14:textId="46619A66" w:rsidR="00A67022" w:rsidRPr="00A67022" w:rsidRDefault="00A67022" w:rsidP="00034001">
      <w:pPr>
        <w:spacing w:before="120" w:after="120"/>
        <w:rPr>
          <w:b/>
          <w:bCs/>
          <w:noProof/>
          <w:color w:val="000000"/>
          <w:szCs w:val="24"/>
          <w:lang w:val="en-US" w:eastAsia="en-GB"/>
        </w:rPr>
      </w:pPr>
      <w:r w:rsidRPr="00A67022">
        <w:rPr>
          <w:noProof/>
          <w:szCs w:val="24"/>
        </w:rPr>
        <w:t xml:space="preserve">The </w:t>
      </w:r>
      <w:r w:rsidR="0087370D">
        <w:rPr>
          <w:noProof/>
          <w:szCs w:val="24"/>
        </w:rPr>
        <w:t>sub-</w:t>
      </w:r>
      <w:r w:rsidRPr="00A67022">
        <w:rPr>
          <w:noProof/>
          <w:szCs w:val="24"/>
        </w:rPr>
        <w:t xml:space="preserve">group shall be chaired by a representative of DG </w:t>
      </w:r>
      <w:r w:rsidR="00907416">
        <w:rPr>
          <w:noProof/>
          <w:szCs w:val="24"/>
        </w:rPr>
        <w:t>MOVE.</w:t>
      </w:r>
    </w:p>
    <w:p w14:paraId="485B6D81" w14:textId="53DF34C4" w:rsidR="00A67022" w:rsidRPr="00A67022" w:rsidRDefault="00A67022" w:rsidP="00034001">
      <w:pPr>
        <w:tabs>
          <w:tab w:val="left" w:pos="0"/>
        </w:tabs>
        <w:spacing w:before="120" w:after="120"/>
        <w:rPr>
          <w:noProof/>
          <w:szCs w:val="24"/>
        </w:rPr>
      </w:pPr>
      <w:r w:rsidRPr="00A67022">
        <w:rPr>
          <w:noProof/>
          <w:szCs w:val="24"/>
        </w:rPr>
        <w:t xml:space="preserve">The </w:t>
      </w:r>
      <w:r w:rsidR="00037254" w:rsidRPr="00037254">
        <w:rPr>
          <w:noProof/>
          <w:szCs w:val="24"/>
        </w:rPr>
        <w:t xml:space="preserve">sub-group </w:t>
      </w:r>
      <w:r w:rsidRPr="00A67022">
        <w:rPr>
          <w:noProof/>
          <w:szCs w:val="24"/>
        </w:rPr>
        <w:t xml:space="preserve">shall act at the request of DG </w:t>
      </w:r>
      <w:r w:rsidR="00907416">
        <w:rPr>
          <w:noProof/>
          <w:szCs w:val="24"/>
        </w:rPr>
        <w:t>MOVE</w:t>
      </w:r>
      <w:r w:rsidRPr="00A67022">
        <w:rPr>
          <w:noProof/>
          <w:szCs w:val="24"/>
        </w:rPr>
        <w:t>, in compliance with the Commission’s horizontal rules on expert groups (‘the horizontal rules’)</w:t>
      </w:r>
      <w:r w:rsidRPr="00A67022">
        <w:rPr>
          <w:noProof/>
          <w:szCs w:val="24"/>
          <w:vertAlign w:val="superscript"/>
        </w:rPr>
        <w:footnoteReference w:id="3"/>
      </w:r>
      <w:r w:rsidRPr="00A67022">
        <w:rPr>
          <w:noProof/>
          <w:szCs w:val="24"/>
        </w:rPr>
        <w:t>.</w:t>
      </w:r>
    </w:p>
    <w:p w14:paraId="485B6D82" w14:textId="1660D222" w:rsidR="00A67022" w:rsidRPr="00A67022" w:rsidRDefault="00A67022" w:rsidP="00034001">
      <w:pPr>
        <w:tabs>
          <w:tab w:val="left" w:pos="0"/>
        </w:tabs>
        <w:spacing w:before="120" w:after="120"/>
        <w:rPr>
          <w:noProof/>
          <w:szCs w:val="24"/>
        </w:rPr>
      </w:pPr>
      <w:r w:rsidRPr="00A67022">
        <w:rPr>
          <w:noProof/>
          <w:szCs w:val="24"/>
        </w:rPr>
        <w:t xml:space="preserve">In principle, the </w:t>
      </w:r>
      <w:r w:rsidR="00037254">
        <w:rPr>
          <w:noProof/>
          <w:szCs w:val="24"/>
        </w:rPr>
        <w:t>sub-</w:t>
      </w:r>
      <w:r w:rsidRPr="00A67022">
        <w:rPr>
          <w:noProof/>
          <w:szCs w:val="24"/>
        </w:rPr>
        <w:t xml:space="preserve">group shall meet </w:t>
      </w:r>
      <w:r w:rsidR="00907416">
        <w:rPr>
          <w:noProof/>
          <w:szCs w:val="24"/>
        </w:rPr>
        <w:t>4</w:t>
      </w:r>
      <w:r w:rsidRPr="00A67022">
        <w:rPr>
          <w:noProof/>
          <w:szCs w:val="24"/>
        </w:rPr>
        <w:t xml:space="preserve"> times per year </w:t>
      </w:r>
      <w:r w:rsidRPr="00A67022">
        <w:rPr>
          <w:noProof/>
          <w:color w:val="000000"/>
          <w:szCs w:val="24"/>
        </w:rPr>
        <w:t>on Commission premises</w:t>
      </w:r>
      <w:r w:rsidR="00037254">
        <w:rPr>
          <w:noProof/>
          <w:color w:val="000000"/>
          <w:szCs w:val="24"/>
        </w:rPr>
        <w:t xml:space="preserve"> or online</w:t>
      </w:r>
      <w:r w:rsidRPr="00A67022">
        <w:rPr>
          <w:noProof/>
          <w:szCs w:val="24"/>
        </w:rPr>
        <w:t xml:space="preserve"> in order to discuss </w:t>
      </w:r>
      <w:r w:rsidR="00BC39E1">
        <w:rPr>
          <w:noProof/>
          <w:szCs w:val="24"/>
        </w:rPr>
        <w:t xml:space="preserve">issues related to </w:t>
      </w:r>
      <w:r w:rsidR="00037254">
        <w:rPr>
          <w:noProof/>
          <w:szCs w:val="24"/>
        </w:rPr>
        <w:t>the task</w:t>
      </w:r>
      <w:r w:rsidR="00BC39E1">
        <w:rPr>
          <w:noProof/>
          <w:szCs w:val="24"/>
        </w:rPr>
        <w:t>s</w:t>
      </w:r>
      <w:r w:rsidR="00037254">
        <w:rPr>
          <w:noProof/>
          <w:szCs w:val="24"/>
        </w:rPr>
        <w:t xml:space="preserve"> </w:t>
      </w:r>
      <w:r w:rsidR="00BC39E1">
        <w:rPr>
          <w:noProof/>
          <w:szCs w:val="24"/>
        </w:rPr>
        <w:t xml:space="preserve">of the sub-group outlined in Section 1, </w:t>
      </w:r>
      <w:r w:rsidR="00037254">
        <w:rPr>
          <w:noProof/>
          <w:szCs w:val="24"/>
        </w:rPr>
        <w:t>points (a)-(c)</w:t>
      </w:r>
      <w:r w:rsidRPr="00A67022">
        <w:rPr>
          <w:noProof/>
          <w:szCs w:val="24"/>
        </w:rPr>
        <w:t>.</w:t>
      </w:r>
      <w:r w:rsidR="00907416">
        <w:rPr>
          <w:noProof/>
          <w:szCs w:val="24"/>
        </w:rPr>
        <w:t xml:space="preserve"> </w:t>
      </w:r>
      <w:r w:rsidRPr="00A67022">
        <w:rPr>
          <w:noProof/>
          <w:szCs w:val="24"/>
        </w:rPr>
        <w:t xml:space="preserve">DG </w:t>
      </w:r>
      <w:r w:rsidR="00907416">
        <w:rPr>
          <w:noProof/>
          <w:szCs w:val="24"/>
        </w:rPr>
        <w:t>MOVE</w:t>
      </w:r>
      <w:r w:rsidRPr="00A67022">
        <w:rPr>
          <w:noProof/>
          <w:szCs w:val="24"/>
        </w:rPr>
        <w:t xml:space="preserve"> shall provide secretarial services.</w:t>
      </w:r>
    </w:p>
    <w:p w14:paraId="485B6D83" w14:textId="3BFFA907"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lastRenderedPageBreak/>
        <w:t xml:space="preserve">Members and members’ representatives </w:t>
      </w:r>
      <w:r w:rsidRPr="00A67022">
        <w:rPr>
          <w:noProof/>
          <w:szCs w:val="24"/>
          <w:shd w:val="clear" w:color="auto" w:fill="FFFFFF"/>
        </w:rPr>
        <w:t xml:space="preserve">should be prepared to attend meetings systematically, to contribute actively to discussions in the </w:t>
      </w:r>
      <w:r w:rsidR="00037254" w:rsidRPr="00037254">
        <w:rPr>
          <w:noProof/>
          <w:szCs w:val="24"/>
          <w:shd w:val="clear" w:color="auto" w:fill="FFFFFF"/>
        </w:rPr>
        <w:t>sub-group</w:t>
      </w:r>
      <w:r w:rsidRPr="00A67022">
        <w:rPr>
          <w:noProof/>
          <w:szCs w:val="24"/>
          <w:shd w:val="clear" w:color="auto" w:fill="FFFFFF"/>
        </w:rPr>
        <w:t xml:space="preserve">, to be involved in preparatory work ahead of meetings, to examine and provide comments on documents under discussion, and to act, as appropriate, as 'rapporteurs' on </w:t>
      </w:r>
      <w:r w:rsidRPr="00CF64F1">
        <w:rPr>
          <w:i/>
          <w:noProof/>
          <w:szCs w:val="24"/>
          <w:shd w:val="clear" w:color="auto" w:fill="FFFFFF"/>
        </w:rPr>
        <w:t>ad hoc</w:t>
      </w:r>
      <w:r w:rsidRPr="00A67022">
        <w:rPr>
          <w:noProof/>
          <w:szCs w:val="24"/>
          <w:shd w:val="clear" w:color="auto" w:fill="FFFFFF"/>
        </w:rPr>
        <w:t xml:space="preserve"> basis. </w:t>
      </w:r>
    </w:p>
    <w:p w14:paraId="485B6D84" w14:textId="017ABE70"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be also conducted in English.</w:t>
      </w:r>
    </w:p>
    <w:p w14:paraId="485B6D85" w14:textId="3090B7EE" w:rsidR="00A67022" w:rsidRPr="00A67022" w:rsidRDefault="006F6975" w:rsidP="00034001">
      <w:pPr>
        <w:tabs>
          <w:tab w:val="left" w:pos="0"/>
        </w:tabs>
        <w:spacing w:before="120" w:after="120"/>
        <w:rPr>
          <w:noProof/>
          <w:szCs w:val="24"/>
        </w:rPr>
      </w:pPr>
      <w:r>
        <w:rPr>
          <w:noProof/>
          <w:szCs w:val="24"/>
        </w:rPr>
        <w:t>In principle, t</w:t>
      </w:r>
      <w:r w:rsidR="00A67022" w:rsidRPr="00A67022">
        <w:rPr>
          <w:noProof/>
          <w:szCs w:val="24"/>
        </w:rPr>
        <w:t xml:space="preserve">he </w:t>
      </w:r>
      <w:r w:rsidR="00037254" w:rsidRPr="00037254">
        <w:rPr>
          <w:noProof/>
          <w:szCs w:val="24"/>
        </w:rPr>
        <w:t xml:space="preserve">sub-group </w:t>
      </w:r>
      <w:r w:rsidR="00A67022" w:rsidRPr="00A67022">
        <w:rPr>
          <w:noProof/>
          <w:szCs w:val="24"/>
        </w:rPr>
        <w:t>shall adopt its opinions, recommendations or reports by consensus.</w:t>
      </w:r>
    </w:p>
    <w:p w14:paraId="485B6D86" w14:textId="7DB8A194" w:rsidR="00A67022" w:rsidRPr="00A67022" w:rsidRDefault="00A67022" w:rsidP="00034001">
      <w:pPr>
        <w:tabs>
          <w:tab w:val="left" w:pos="0"/>
        </w:tabs>
        <w:spacing w:before="120" w:after="120"/>
        <w:rPr>
          <w:noProof/>
          <w:szCs w:val="24"/>
        </w:rPr>
      </w:pPr>
      <w:r w:rsidRPr="00A67022">
        <w:rPr>
          <w:noProof/>
          <w:szCs w:val="24"/>
        </w:rPr>
        <w:t xml:space="preserve">In agreement with the DG </w:t>
      </w:r>
      <w:r w:rsidR="00037254">
        <w:rPr>
          <w:noProof/>
          <w:szCs w:val="24"/>
        </w:rPr>
        <w:t>MOVE</w:t>
      </w:r>
      <w:r w:rsidRPr="00A67022">
        <w:rPr>
          <w:noProof/>
          <w:szCs w:val="24"/>
        </w:rPr>
        <w:t xml:space="preserve">, the </w:t>
      </w:r>
      <w:r w:rsidR="00037254" w:rsidRPr="00037254">
        <w:rPr>
          <w:noProof/>
          <w:szCs w:val="24"/>
        </w:rPr>
        <w:t xml:space="preserve">sub-group </w:t>
      </w:r>
      <w:r w:rsidR="00034001">
        <w:rPr>
          <w:noProof/>
          <w:szCs w:val="24"/>
        </w:rPr>
        <w:t xml:space="preserve">may, by simple majority of its </w:t>
      </w:r>
      <w:r w:rsidRPr="00A67022">
        <w:rPr>
          <w:noProof/>
          <w:szCs w:val="24"/>
        </w:rPr>
        <w:t>members, decide that deliberations shall be public.</w:t>
      </w:r>
    </w:p>
    <w:p w14:paraId="485B6D87" w14:textId="242D003F" w:rsidR="00A67022" w:rsidRPr="00A67022" w:rsidRDefault="00A67022" w:rsidP="00034001">
      <w:pPr>
        <w:tabs>
          <w:tab w:val="left" w:pos="0"/>
        </w:tabs>
        <w:spacing w:before="120" w:after="120"/>
        <w:rPr>
          <w:noProof/>
          <w:szCs w:val="24"/>
        </w:rPr>
      </w:pPr>
      <w:r w:rsidRPr="00A67022">
        <w:rPr>
          <w:noProof/>
          <w:szCs w:val="24"/>
        </w:rPr>
        <w:t>Participants in the activities of the sub-group</w:t>
      </w:r>
      <w:r w:rsidR="00037254">
        <w:rPr>
          <w:noProof/>
          <w:szCs w:val="24"/>
        </w:rPr>
        <w:t xml:space="preserve"> </w:t>
      </w:r>
      <w:r w:rsidRPr="00A67022">
        <w:rPr>
          <w:noProof/>
          <w:szCs w:val="24"/>
        </w:rPr>
        <w:t>shall not be remunerated for the services they offer. Travel and subsistence expenses incurred by participants in the activities of the sub-group</w:t>
      </w:r>
      <w:r w:rsidR="002B2F79">
        <w:rPr>
          <w:noProof/>
          <w:szCs w:val="24"/>
        </w:rPr>
        <w:t xml:space="preserve"> </w:t>
      </w:r>
      <w:r w:rsidRPr="00A67022">
        <w:rPr>
          <w:noProof/>
          <w:szCs w:val="24"/>
        </w:rPr>
        <w:t>shall</w:t>
      </w:r>
      <w:r w:rsidR="00BC39E1">
        <w:rPr>
          <w:noProof/>
          <w:szCs w:val="24"/>
        </w:rPr>
        <w:t xml:space="preserve"> not</w:t>
      </w:r>
      <w:r w:rsidRPr="00A67022">
        <w:rPr>
          <w:noProof/>
          <w:szCs w:val="24"/>
        </w:rPr>
        <w:t xml:space="preserve"> be reimbursed by the Commission. </w:t>
      </w:r>
    </w:p>
    <w:p w14:paraId="485B6D88" w14:textId="6D45DC61"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t xml:space="preserve">The members of the </w:t>
      </w:r>
      <w:r w:rsidR="00CF66EB" w:rsidRPr="00CF66EB">
        <w:rPr>
          <w:noProof/>
          <w:color w:val="000000"/>
          <w:szCs w:val="24"/>
        </w:rPr>
        <w:t xml:space="preserve">sub-group </w:t>
      </w:r>
      <w:r w:rsidRPr="00A67022">
        <w:rPr>
          <w:noProof/>
          <w:color w:val="000000"/>
          <w:szCs w:val="24"/>
        </w:rPr>
        <w:t xml:space="preserve">and their representatives, as well as invited experts and observers,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4"/>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5"/>
      </w:r>
      <w:r w:rsidRPr="00A67022">
        <w:rPr>
          <w:noProof/>
          <w:szCs w:val="24"/>
        </w:rPr>
        <w:t>. Should they fail to respect these obligations, the Commission may take all appropriate measures.</w:t>
      </w:r>
    </w:p>
    <w:p w14:paraId="485B6D8A" w14:textId="745DD590" w:rsidR="00A67022" w:rsidRPr="00A67022" w:rsidRDefault="00A67022" w:rsidP="00034001">
      <w:pPr>
        <w:tabs>
          <w:tab w:val="left" w:pos="0"/>
        </w:tabs>
        <w:spacing w:before="120" w:after="120"/>
        <w:rPr>
          <w:noProof/>
          <w:szCs w:val="24"/>
        </w:rPr>
      </w:pPr>
      <w:r w:rsidRPr="00A67022">
        <w:rPr>
          <w:noProof/>
          <w:szCs w:val="24"/>
        </w:rPr>
        <w:t xml:space="preserve">DG </w:t>
      </w:r>
      <w:r w:rsidR="00F559F1">
        <w:rPr>
          <w:noProof/>
          <w:szCs w:val="24"/>
        </w:rPr>
        <w:t>MOVE</w:t>
      </w:r>
      <w:r w:rsidRPr="00A67022">
        <w:rPr>
          <w:noProof/>
          <w:szCs w:val="24"/>
        </w:rPr>
        <w:t xml:space="preserve"> may invite experts with specific expertise with respect to a subject matter on the agenda to take part in the work of the sub-group on an ad hoc basis. </w:t>
      </w:r>
    </w:p>
    <w:p w14:paraId="485B6D8B" w14:textId="530320F5" w:rsidR="00A67022" w:rsidRPr="00A67022" w:rsidRDefault="00CF66EB" w:rsidP="00034001">
      <w:pPr>
        <w:tabs>
          <w:tab w:val="left" w:pos="0"/>
        </w:tabs>
        <w:spacing w:before="120" w:after="120"/>
        <w:rPr>
          <w:rFonts w:eastAsia="SimSun"/>
          <w:noProof/>
          <w:szCs w:val="24"/>
        </w:rPr>
      </w:pPr>
      <w:r>
        <w:rPr>
          <w:noProof/>
          <w:szCs w:val="24"/>
        </w:rPr>
        <w:t>O</w:t>
      </w:r>
      <w:r w:rsidR="00A67022" w:rsidRPr="00A67022">
        <w:rPr>
          <w:noProof/>
          <w:szCs w:val="24"/>
        </w:rPr>
        <w:t>rganisations</w:t>
      </w:r>
      <w:r>
        <w:rPr>
          <w:noProof/>
          <w:szCs w:val="24"/>
        </w:rPr>
        <w:t xml:space="preserve"> and</w:t>
      </w:r>
      <w:r w:rsidR="00A67022" w:rsidRPr="00A67022">
        <w:rPr>
          <w:noProof/>
          <w:szCs w:val="24"/>
        </w:rPr>
        <w:t xml:space="preserve"> public entities</w:t>
      </w:r>
      <w:r w:rsidR="00C43D99">
        <w:rPr>
          <w:noProof/>
          <w:szCs w:val="24"/>
        </w:rPr>
        <w:t xml:space="preserve"> other than Member States’ authorities</w:t>
      </w:r>
      <w:r w:rsidR="00A67022" w:rsidRPr="00A67022">
        <w:rPr>
          <w:noProof/>
          <w:szCs w:val="24"/>
        </w:rPr>
        <w:t xml:space="preserve"> may be granted an observer status, in compliance with the horizontal rules, by direct invitation. </w:t>
      </w:r>
      <w:r w:rsidR="00A67022" w:rsidRPr="00A67022">
        <w:rPr>
          <w:noProof/>
          <w:szCs w:val="24"/>
          <w:shd w:val="clear" w:color="auto" w:fill="FFFFFF"/>
        </w:rPr>
        <w:t>Organisations</w:t>
      </w:r>
      <w:r>
        <w:rPr>
          <w:noProof/>
          <w:szCs w:val="24"/>
          <w:shd w:val="clear" w:color="auto" w:fill="FFFFFF"/>
        </w:rPr>
        <w:t xml:space="preserve"> and </w:t>
      </w:r>
      <w:r w:rsidR="00A67022" w:rsidRPr="00A67022">
        <w:rPr>
          <w:noProof/>
          <w:szCs w:val="24"/>
          <w:shd w:val="clear" w:color="auto" w:fill="FFFFFF"/>
        </w:rPr>
        <w:t xml:space="preserve">public entities </w:t>
      </w:r>
      <w:r w:rsidR="00A67022" w:rsidRPr="00A67022">
        <w:rPr>
          <w:noProof/>
          <w:szCs w:val="24"/>
        </w:rPr>
        <w:t>appointed as observers</w:t>
      </w:r>
      <w:r w:rsidR="00A67022" w:rsidRPr="00A67022">
        <w:rPr>
          <w:noProof/>
          <w:szCs w:val="24"/>
          <w:shd w:val="clear" w:color="auto" w:fill="FFFFFF"/>
        </w:rPr>
        <w:t xml:space="preserve"> shall nominate their representatives. </w:t>
      </w:r>
      <w:r w:rsidR="00A67022" w:rsidRPr="00A67022">
        <w:rPr>
          <w:rFonts w:eastAsia="SimSun"/>
          <w:iCs/>
          <w:noProof/>
          <w:szCs w:val="24"/>
          <w:lang w:eastAsia="zh-CN"/>
        </w:rPr>
        <w:t xml:space="preserve">Observers and their representatives may be permitted by the Chair to </w:t>
      </w:r>
      <w:r w:rsidR="00A67022" w:rsidRPr="00A67022">
        <w:rPr>
          <w:noProof/>
          <w:szCs w:val="24"/>
          <w:shd w:val="clear" w:color="auto" w:fill="FFFFFF"/>
        </w:rPr>
        <w:t xml:space="preserve">take part in the </w:t>
      </w:r>
      <w:r w:rsidR="00A67022" w:rsidRPr="00A67022">
        <w:rPr>
          <w:rFonts w:eastAsia="SimSun"/>
          <w:iCs/>
          <w:noProof/>
          <w:szCs w:val="24"/>
          <w:lang w:eastAsia="zh-CN"/>
        </w:rPr>
        <w:t xml:space="preserve">discussions </w:t>
      </w:r>
      <w:r w:rsidR="00A67022" w:rsidRPr="00A67022">
        <w:rPr>
          <w:noProof/>
          <w:szCs w:val="24"/>
          <w:shd w:val="clear" w:color="auto" w:fill="FFFFFF"/>
        </w:rPr>
        <w:t xml:space="preserve">of the </w:t>
      </w:r>
      <w:r w:rsidRPr="00CF66EB">
        <w:rPr>
          <w:noProof/>
          <w:szCs w:val="24"/>
          <w:shd w:val="clear" w:color="auto" w:fill="FFFFFF"/>
        </w:rPr>
        <w:t xml:space="preserve">sub-group </w:t>
      </w:r>
      <w:r w:rsidR="00A67022" w:rsidRPr="00A67022">
        <w:rPr>
          <w:noProof/>
          <w:szCs w:val="24"/>
          <w:shd w:val="clear" w:color="auto" w:fill="FFFFFF"/>
        </w:rPr>
        <w:t xml:space="preserve">and provide expertise. However, they </w:t>
      </w:r>
      <w:r w:rsidR="00A67022" w:rsidRPr="00A67022">
        <w:rPr>
          <w:rFonts w:eastAsia="SimSun"/>
          <w:iCs/>
          <w:noProof/>
          <w:szCs w:val="24"/>
          <w:lang w:eastAsia="zh-CN"/>
        </w:rPr>
        <w:t xml:space="preserve">shall not participate in the formulation of recommendations or advice of the </w:t>
      </w:r>
      <w:r w:rsidRPr="00CF66EB">
        <w:rPr>
          <w:rFonts w:eastAsia="SimSun"/>
          <w:iCs/>
          <w:noProof/>
          <w:szCs w:val="24"/>
          <w:lang w:eastAsia="zh-CN"/>
        </w:rPr>
        <w:t>sub-group</w:t>
      </w:r>
      <w:r w:rsidR="00A67022" w:rsidRPr="00A67022">
        <w:rPr>
          <w:rFonts w:eastAsia="SimSun"/>
          <w:noProof/>
          <w:szCs w:val="24"/>
        </w:rPr>
        <w:t>.</w:t>
      </w:r>
    </w:p>
    <w:p w14:paraId="485B6D8D" w14:textId="72AC5FAA"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 xml:space="preserve">The </w:t>
      </w:r>
      <w:r w:rsidR="00CF66EB" w:rsidRPr="00CF66EB">
        <w:rPr>
          <w:noProof/>
          <w:szCs w:val="24"/>
        </w:rPr>
        <w:t xml:space="preserve">sub-group </w:t>
      </w:r>
      <w:r w:rsidRPr="00A67022">
        <w:rPr>
          <w:noProof/>
          <w:szCs w:val="24"/>
        </w:rPr>
        <w:t>shall be registered in the Register of Commission expert groups and other similar entities (‘the Register of expert groups’)</w:t>
      </w:r>
      <w:r w:rsidR="00F677C4">
        <w:rPr>
          <w:rStyle w:val="FootnoteReference"/>
          <w:noProof/>
          <w:szCs w:val="24"/>
        </w:rPr>
        <w:footnoteReference w:id="6"/>
      </w:r>
      <w:r w:rsidRPr="00A67022">
        <w:rPr>
          <w:noProof/>
          <w:szCs w:val="24"/>
        </w:rPr>
        <w:t>.</w:t>
      </w:r>
    </w:p>
    <w:p w14:paraId="485B6D8E" w14:textId="2BEA1DD2" w:rsidR="00A67022" w:rsidRPr="00A67022" w:rsidRDefault="00A67022" w:rsidP="001B6CB1">
      <w:pPr>
        <w:tabs>
          <w:tab w:val="left" w:pos="851"/>
        </w:tabs>
        <w:spacing w:before="120" w:after="120"/>
        <w:rPr>
          <w:noProof/>
          <w:szCs w:val="24"/>
        </w:rPr>
      </w:pPr>
      <w:r w:rsidRPr="00A67022">
        <w:rPr>
          <w:noProof/>
          <w:szCs w:val="24"/>
        </w:rPr>
        <w:t xml:space="preserve">As concerns the </w:t>
      </w:r>
      <w:r w:rsidR="008F42E7">
        <w:rPr>
          <w:noProof/>
          <w:szCs w:val="24"/>
        </w:rPr>
        <w:t xml:space="preserve">sub-group </w:t>
      </w:r>
      <w:r w:rsidRPr="00A67022">
        <w:rPr>
          <w:noProof/>
          <w:szCs w:val="24"/>
        </w:rPr>
        <w:t xml:space="preserve">composition, DG </w:t>
      </w:r>
      <w:r w:rsidR="00CF66EB">
        <w:rPr>
          <w:noProof/>
          <w:szCs w:val="24"/>
        </w:rPr>
        <w:t>MOVE</w:t>
      </w:r>
      <w:r w:rsidRPr="00A67022">
        <w:rPr>
          <w:noProof/>
          <w:szCs w:val="24"/>
        </w:rPr>
        <w:t xml:space="preserve"> shall publish the following data on the Register of expert groups:</w:t>
      </w:r>
    </w:p>
    <w:p w14:paraId="063478AA" w14:textId="591082E2" w:rsidR="00E91E16" w:rsidRDefault="00E91E16" w:rsidP="00E91E16">
      <w:pPr>
        <w:pStyle w:val="ListDash"/>
        <w:rPr>
          <w:noProof/>
        </w:rPr>
      </w:pPr>
      <w:r w:rsidRPr="00A67022">
        <w:rPr>
          <w:noProof/>
        </w:rPr>
        <w:t>the name of Member States' authorities;</w:t>
      </w:r>
    </w:p>
    <w:p w14:paraId="3BA539B9" w14:textId="7F37FB78" w:rsidR="00E91E16" w:rsidRPr="00A67022" w:rsidRDefault="00E91E16" w:rsidP="00E91E16">
      <w:pPr>
        <w:pStyle w:val="ListDash"/>
        <w:rPr>
          <w:noProof/>
        </w:rPr>
      </w:pPr>
      <w:r w:rsidRPr="00A67022">
        <w:rPr>
          <w:noProof/>
        </w:rPr>
        <w:t>the name of public entities</w:t>
      </w:r>
      <w:r>
        <w:rPr>
          <w:noProof/>
        </w:rPr>
        <w:t xml:space="preserve"> other than Member States' authorities</w:t>
      </w:r>
      <w:r w:rsidRPr="00A67022">
        <w:rPr>
          <w:noProof/>
        </w:rPr>
        <w:t>;</w:t>
      </w:r>
    </w:p>
    <w:p w14:paraId="1BDAE10F" w14:textId="080C6C06" w:rsidR="00E91E16" w:rsidRPr="00E91E16" w:rsidRDefault="00A67022" w:rsidP="00CF66EB">
      <w:pPr>
        <w:pStyle w:val="ListDash"/>
        <w:rPr>
          <w:noProof/>
        </w:rPr>
      </w:pPr>
      <w:r w:rsidRPr="00A67022">
        <w:rPr>
          <w:noProof/>
        </w:rPr>
        <w:t>the name of member organisations; the interest represented shall be disclosed;</w:t>
      </w:r>
    </w:p>
    <w:p w14:paraId="485B6D93" w14:textId="319AD550" w:rsidR="00A67022" w:rsidRPr="00A67022" w:rsidRDefault="00A67022" w:rsidP="00034001">
      <w:pPr>
        <w:pStyle w:val="ListDash"/>
        <w:rPr>
          <w:noProof/>
        </w:rPr>
      </w:pPr>
      <w:r w:rsidRPr="00A67022">
        <w:rPr>
          <w:noProof/>
        </w:rPr>
        <w:lastRenderedPageBreak/>
        <w:t>the name of observers</w:t>
      </w:r>
      <w:r w:rsidR="00160AC8">
        <w:rPr>
          <w:noProof/>
        </w:rPr>
        <w:t>.</w:t>
      </w:r>
    </w:p>
    <w:p w14:paraId="485B6D97" w14:textId="11F3D742" w:rsidR="00A67022" w:rsidRPr="00A67022" w:rsidRDefault="00A67022" w:rsidP="001B6CB1">
      <w:pPr>
        <w:spacing w:before="120" w:after="120"/>
        <w:rPr>
          <w:noProof/>
          <w:szCs w:val="24"/>
          <w:lang w:eastAsia="en-GB"/>
        </w:rPr>
      </w:pPr>
      <w:r w:rsidRPr="00A67022">
        <w:rPr>
          <w:noProof/>
          <w:szCs w:val="24"/>
          <w:lang w:eastAsia="en-GB"/>
        </w:rPr>
        <w:t xml:space="preserve">DG </w:t>
      </w:r>
      <w:r w:rsidR="00CF66EB">
        <w:rPr>
          <w:noProof/>
          <w:szCs w:val="24"/>
          <w:lang w:eastAsia="en-GB"/>
        </w:rPr>
        <w:t>MOVE</w:t>
      </w:r>
      <w:r w:rsidRPr="00A67022">
        <w:rPr>
          <w:noProof/>
          <w:szCs w:val="24"/>
          <w:lang w:eastAsia="en-GB"/>
        </w:rPr>
        <w:t xml:space="preserve"> shall make available all relevant documents, including the agendas, the minutes and the participants’ submissions on the Register </w:t>
      </w:r>
      <w:r w:rsidRPr="00A67022">
        <w:rPr>
          <w:noProof/>
          <w:szCs w:val="24"/>
        </w:rPr>
        <w:t>of expert groups</w:t>
      </w:r>
      <w:r w:rsidRPr="00A67022">
        <w:rPr>
          <w:noProof/>
          <w:szCs w:val="24"/>
          <w:lang w:eastAsia="en-GB"/>
        </w:rPr>
        <w:t xml:space="preserve">. </w:t>
      </w:r>
      <w:r w:rsidRPr="00A67022">
        <w:rPr>
          <w:noProof/>
          <w:lang w:eastAsia="en-GB"/>
        </w:rPr>
        <w:t xml:space="preserve">In particular, DG </w:t>
      </w:r>
      <w:r w:rsidR="00705F0A">
        <w:rPr>
          <w:noProof/>
          <w:lang w:eastAsia="en-GB"/>
        </w:rPr>
        <w:t>MOVE</w:t>
      </w:r>
      <w:r w:rsidRPr="00A67022">
        <w:rPr>
          <w:noProof/>
          <w:lang w:eastAsia="en-GB"/>
        </w:rPr>
        <w:t xml:space="preserve"> shall ensure publication of the agenda and other relevant background documents in due time ahead of the meeting, followed by timely publication of minutes.</w:t>
      </w:r>
      <w:r w:rsidRPr="00A67022">
        <w:rPr>
          <w:noProof/>
          <w:szCs w:val="24"/>
          <w:lang w:eastAsia="en-GB"/>
        </w:rPr>
        <w:t xml:space="preserve"> Exceptions to publication shall only be foreseen where it is deemed that disclosure of a document would undermine the protection of a public or private interest as defined in Article 4 of Regulation (EC) N° 1049/2001</w:t>
      </w:r>
      <w:r w:rsidRPr="00A67022">
        <w:rPr>
          <w:noProof/>
          <w:position w:val="6"/>
          <w:sz w:val="18"/>
          <w:szCs w:val="18"/>
          <w:lang w:eastAsia="en-GB"/>
        </w:rPr>
        <w:footnoteReference w:id="7"/>
      </w:r>
      <w:r w:rsidRPr="00A67022">
        <w:rPr>
          <w:noProof/>
          <w:szCs w:val="24"/>
          <w:lang w:eastAsia="en-GB"/>
        </w:rPr>
        <w:t>.</w:t>
      </w:r>
    </w:p>
    <w:p w14:paraId="485B6D98" w14:textId="19EE54F5"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485B6D99" w14:textId="77777777" w:rsidR="00A67022" w:rsidRPr="00A67022" w:rsidRDefault="00A67022" w:rsidP="001B6CB1">
      <w:pPr>
        <w:keepNext/>
        <w:keepLines/>
        <w:widowControl w:val="0"/>
        <w:numPr>
          <w:ilvl w:val="0"/>
          <w:numId w:val="37"/>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485B6D9A" w14:textId="51ECF1E5"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Interested organisations are invited to submit their application to the European Commission, DG </w:t>
      </w:r>
      <w:r w:rsidR="00705F0A">
        <w:rPr>
          <w:noProof/>
          <w:color w:val="000000"/>
          <w:szCs w:val="24"/>
          <w:lang w:val="en-US" w:eastAsia="en-GB"/>
        </w:rPr>
        <w:t>MOVE</w:t>
      </w:r>
      <w:r w:rsidRPr="00A67022">
        <w:rPr>
          <w:noProof/>
          <w:color w:val="000000"/>
          <w:szCs w:val="24"/>
          <w:lang w:val="en-US" w:eastAsia="en-GB"/>
        </w:rPr>
        <w:t>.</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C" w14:textId="4BFB5240" w:rsidR="00A67022" w:rsidRPr="00A67022" w:rsidRDefault="00A67022" w:rsidP="001B6CB1">
      <w:pPr>
        <w:widowControl w:val="0"/>
        <w:spacing w:before="120" w:after="120"/>
        <w:rPr>
          <w:noProof/>
          <w:szCs w:val="24"/>
          <w:lang w:eastAsia="en-GB"/>
        </w:rPr>
      </w:pPr>
      <w:r w:rsidRPr="00A67022">
        <w:rPr>
          <w:noProof/>
          <w:szCs w:val="24"/>
          <w:lang w:eastAsia="en-GB"/>
        </w:rPr>
        <w:t xml:space="preserve">Organisations shall indicate the name of their representative(s) in the </w:t>
      </w:r>
      <w:r w:rsidR="00705F0A" w:rsidRPr="00705F0A">
        <w:rPr>
          <w:noProof/>
          <w:szCs w:val="24"/>
          <w:lang w:eastAsia="en-GB"/>
        </w:rPr>
        <w:t>sub-group</w:t>
      </w:r>
      <w:r w:rsidRPr="00A67022">
        <w:rPr>
          <w:noProof/>
          <w:szCs w:val="24"/>
          <w:lang w:eastAsia="en-GB"/>
        </w:rPr>
        <w:t>.</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7C2B3678"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 xml:space="preserve">stating what contribution the applicant could make to the </w:t>
      </w:r>
      <w:r w:rsidR="0087370D" w:rsidRPr="0087370D">
        <w:rPr>
          <w:noProof/>
          <w:lang w:eastAsia="en-GB"/>
        </w:rPr>
        <w:t>sub-group</w:t>
      </w:r>
      <w:r w:rsidRPr="00A67022">
        <w:rPr>
          <w:noProof/>
          <w:lang w:eastAsia="en-GB"/>
        </w:rPr>
        <w:t>;</w:t>
      </w:r>
    </w:p>
    <w:p w14:paraId="485B6DA1" w14:textId="2264EACB"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00B23B8E">
        <w:rPr>
          <w:noProof/>
          <w:lang w:val="en-US" w:eastAsia="en-GB"/>
        </w:rPr>
        <w:t>;</w:t>
      </w:r>
      <w:r w:rsidRPr="00A67022">
        <w:rPr>
          <w:noProof/>
          <w:lang w:val="sl" w:eastAsia="en-GB"/>
        </w:rPr>
        <w:t xml:space="preserve"> </w:t>
      </w:r>
    </w:p>
    <w:p w14:paraId="485B6DA2"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485B6DA4" w14:textId="1092A2B8" w:rsidR="00A67022" w:rsidRPr="00705F0A" w:rsidRDefault="00A67022" w:rsidP="00705F0A">
      <w:pPr>
        <w:widowControl w:val="0"/>
        <w:tabs>
          <w:tab w:val="left" w:pos="375"/>
        </w:tabs>
        <w:spacing w:before="120" w:after="120"/>
        <w:rPr>
          <w:noProof/>
          <w:color w:val="000000"/>
          <w:szCs w:val="24"/>
          <w:lang w:val="en-US" w:eastAsia="en-GB"/>
        </w:rPr>
      </w:pPr>
      <w:r w:rsidRPr="00A67022">
        <w:rPr>
          <w:noProof/>
          <w:color w:val="000000"/>
          <w:szCs w:val="24"/>
          <w:lang w:val="en-US" w:eastAsia="en-GB"/>
        </w:rPr>
        <w:t xml:space="preserve">For individuals indicated by organisations as their representatives, a </w:t>
      </w:r>
      <w:r w:rsidRPr="00A67022">
        <w:rPr>
          <w:i/>
          <w:noProof/>
          <w:color w:val="000000"/>
          <w:szCs w:val="24"/>
          <w:lang w:val="en-US" w:eastAsia="en-GB"/>
        </w:rPr>
        <w:t xml:space="preserve">curriculum </w:t>
      </w:r>
      <w:r w:rsidRPr="00A67022">
        <w:rPr>
          <w:i/>
          <w:noProof/>
          <w:color w:val="000000"/>
          <w:szCs w:val="24"/>
          <w:lang w:eastAsia="en-GB"/>
        </w:rPr>
        <w:t>vitae</w:t>
      </w:r>
      <w:r w:rsidRPr="00A67022">
        <w:rPr>
          <w:noProof/>
          <w:color w:val="000000"/>
          <w:szCs w:val="24"/>
          <w:lang w:eastAsia="en-GB"/>
        </w:rPr>
        <w:t xml:space="preserve"> </w:t>
      </w:r>
      <w:r w:rsidRPr="00A67022">
        <w:rPr>
          <w:noProof/>
          <w:color w:val="000000"/>
          <w:szCs w:val="24"/>
          <w:lang w:val="sl" w:eastAsia="en-GB"/>
        </w:rPr>
        <w:t xml:space="preserve">(CV) shall also be provided, </w:t>
      </w:r>
      <w:r w:rsidRPr="00A67022">
        <w:rPr>
          <w:noProof/>
          <w:color w:val="000000"/>
          <w:szCs w:val="24"/>
          <w:lang w:val="en-US" w:eastAsia="en-GB"/>
        </w:rPr>
        <w:t>preferably not exceeding three pages. All CVs shall be submitted in the European format (</w:t>
      </w:r>
      <w:hyperlink r:id="rId14" w:history="1">
        <w:r w:rsidR="00761911">
          <w:rPr>
            <w:rStyle w:val="Hyperlink"/>
          </w:rPr>
          <w:t>Home | Europass</w:t>
        </w:r>
      </w:hyperlink>
      <w:r w:rsidRPr="00A67022">
        <w:rPr>
          <w:noProof/>
          <w:color w:val="000000"/>
          <w:szCs w:val="24"/>
          <w:lang w:val="en-US" w:eastAsia="en-GB"/>
        </w:rPr>
        <w:t>).</w:t>
      </w:r>
    </w:p>
    <w:p w14:paraId="485B6DA5"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485B6DA8" w14:textId="5DA41450" w:rsidR="00A67022" w:rsidRPr="00A67022" w:rsidRDefault="00A67022" w:rsidP="002912A5">
      <w:pPr>
        <w:widowControl w:val="0"/>
        <w:spacing w:before="120" w:after="120"/>
        <w:rPr>
          <w:noProof/>
          <w:lang w:val="en-US" w:eastAsia="en-GB"/>
        </w:rPr>
      </w:pPr>
      <w:r w:rsidRPr="00A67022">
        <w:rPr>
          <w:noProof/>
          <w:color w:val="000000"/>
          <w:szCs w:val="24"/>
          <w:lang w:val="en-US" w:eastAsia="en-GB"/>
        </w:rPr>
        <w:lastRenderedPageBreak/>
        <w:t xml:space="preserve">The duly signed applications must be sent by </w:t>
      </w:r>
      <w:r w:rsidR="002006E7">
        <w:rPr>
          <w:noProof/>
          <w:color w:val="000000"/>
          <w:szCs w:val="24"/>
          <w:lang w:val="en-US" w:eastAsia="en-GB"/>
        </w:rPr>
        <w:t>15 September</w:t>
      </w:r>
      <w:r w:rsidR="002912A5" w:rsidRPr="0017704E">
        <w:rPr>
          <w:noProof/>
          <w:color w:val="000000"/>
          <w:szCs w:val="24"/>
          <w:lang w:val="en-US" w:eastAsia="en-GB"/>
        </w:rPr>
        <w:t xml:space="preserve"> 2023</w:t>
      </w:r>
      <w:r w:rsidRPr="00A67022">
        <w:rPr>
          <w:noProof/>
          <w:color w:val="000000"/>
          <w:szCs w:val="24"/>
          <w:lang w:val="en-US" w:eastAsia="en-GB"/>
        </w:rPr>
        <w:t xml:space="preserve"> at the latest</w:t>
      </w:r>
      <w:r w:rsidR="002912A5">
        <w:rPr>
          <w:noProof/>
          <w:color w:val="000000"/>
          <w:szCs w:val="24"/>
          <w:lang w:val="en-US" w:eastAsia="en-GB"/>
        </w:rPr>
        <w:t>,</w:t>
      </w:r>
      <w:r w:rsidRPr="00A67022">
        <w:rPr>
          <w:noProof/>
          <w:lang w:val="en-US" w:eastAsia="en-GB"/>
        </w:rPr>
        <w:t xml:space="preserve"> by e-mail</w:t>
      </w:r>
      <w:r w:rsidR="002912A5">
        <w:rPr>
          <w:noProof/>
          <w:lang w:val="en-US" w:eastAsia="en-GB"/>
        </w:rPr>
        <w:t>,</w:t>
      </w:r>
      <w:r w:rsidRPr="00A67022">
        <w:rPr>
          <w:noProof/>
          <w:lang w:val="en-US" w:eastAsia="en-GB"/>
        </w:rPr>
        <w:t xml:space="preserve"> to the following e-mail address: </w:t>
      </w:r>
      <w:r w:rsidR="002912A5" w:rsidRPr="002912A5">
        <w:rPr>
          <w:noProof/>
          <w:lang w:val="en-US" w:eastAsia="en-GB"/>
        </w:rPr>
        <w:t>MOVE-C2-SECRETARIAT@ec.europa.eu</w:t>
      </w:r>
      <w:r w:rsidRPr="00A67022">
        <w:rPr>
          <w:noProof/>
          <w:lang w:val="sl" w:eastAsia="en-GB"/>
        </w:rPr>
        <w:t xml:space="preserve">, </w:t>
      </w:r>
      <w:r w:rsidRPr="00A67022">
        <w:rPr>
          <w:noProof/>
          <w:lang w:val="en-US" w:eastAsia="en-GB"/>
        </w:rPr>
        <w:t>the date of the e-mail will be the date of sending.</w:t>
      </w:r>
    </w:p>
    <w:p w14:paraId="485B6DAB" w14:textId="588A9664" w:rsidR="00A67022" w:rsidRPr="00A67022" w:rsidRDefault="00A67022" w:rsidP="00734887">
      <w:pPr>
        <w:numPr>
          <w:ilvl w:val="0"/>
          <w:numId w:val="37"/>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485B6DAC" w14:textId="639F7C61" w:rsidR="00A67022" w:rsidRPr="00A67022" w:rsidRDefault="00A67022" w:rsidP="001B6CB1">
      <w:pPr>
        <w:spacing w:before="120" w:after="120"/>
        <w:rPr>
          <w:noProof/>
          <w:szCs w:val="24"/>
        </w:rPr>
      </w:pPr>
      <w:r w:rsidRPr="00A67022">
        <w:rPr>
          <w:noProof/>
        </w:rPr>
        <w:t xml:space="preserve">DG </w:t>
      </w:r>
      <w:r w:rsidR="002912A5">
        <w:rPr>
          <w:noProof/>
        </w:rPr>
        <w:t>MOVE</w:t>
      </w:r>
      <w:r w:rsidRPr="00A67022">
        <w:rPr>
          <w:noProof/>
        </w:rPr>
        <w:t xml:space="preserve"> </w:t>
      </w:r>
      <w:r w:rsidRPr="00A67022">
        <w:rPr>
          <w:noProof/>
          <w:szCs w:val="24"/>
        </w:rPr>
        <w:t>will take the following criteria into account when assessing applications:</w:t>
      </w:r>
    </w:p>
    <w:p w14:paraId="485B6DAD" w14:textId="5EA8E9C6" w:rsidR="00A67022" w:rsidRPr="00A67022" w:rsidRDefault="00A67022" w:rsidP="00034001">
      <w:pPr>
        <w:pStyle w:val="ListDash"/>
        <w:rPr>
          <w:noProof/>
        </w:rPr>
      </w:pPr>
      <w:r w:rsidRPr="00A67022">
        <w:rPr>
          <w:noProof/>
        </w:rPr>
        <w:t xml:space="preserve">proven and relevant competence and experience, including at European and / or international level, in areas relevant to </w:t>
      </w:r>
      <w:r w:rsidR="004334D8">
        <w:rPr>
          <w:noProof/>
        </w:rPr>
        <w:t>the design of safe road infrastructure</w:t>
      </w:r>
      <w:r w:rsidRPr="001E0F82">
        <w:rPr>
          <w:noProof/>
        </w:rPr>
        <w:t>;</w:t>
      </w:r>
    </w:p>
    <w:p w14:paraId="485B6DB0" w14:textId="65E04413" w:rsidR="00A67022" w:rsidRPr="00A67022" w:rsidRDefault="00A67022" w:rsidP="00034001">
      <w:pPr>
        <w:pStyle w:val="ListDash"/>
        <w:rPr>
          <w:noProof/>
        </w:rPr>
      </w:pPr>
      <w:r w:rsidRPr="00A67022">
        <w:rPr>
          <w:noProof/>
          <w:color w:val="000000"/>
          <w:lang w:val="en-US" w:eastAsia="en-GB"/>
        </w:rPr>
        <w:t>competence, experience and hierarchical level of the proposed representatives;</w:t>
      </w:r>
    </w:p>
    <w:p w14:paraId="485B6DB1" w14:textId="455D9ECC" w:rsidR="00A67022" w:rsidRPr="00A67022" w:rsidRDefault="00A67022" w:rsidP="00034001">
      <w:pPr>
        <w:pStyle w:val="ListDash"/>
        <w:rPr>
          <w:noProof/>
        </w:rPr>
      </w:pPr>
      <w:r w:rsidRPr="00A67022">
        <w:rPr>
          <w:noProof/>
        </w:rPr>
        <w:t xml:space="preserve">good knowledge of the English language allowing active participation in the discussions </w:t>
      </w:r>
      <w:r w:rsidR="00C2235E" w:rsidRPr="00C2235E">
        <w:rPr>
          <w:noProof/>
        </w:rPr>
        <w:t>(</w:t>
      </w:r>
      <w:r w:rsidR="001E2CB6">
        <w:rPr>
          <w:noProof/>
        </w:rPr>
        <w:t>by organisations’ representatives</w:t>
      </w:r>
      <w:r w:rsidR="00C2235E" w:rsidRPr="00C2235E">
        <w:rPr>
          <w:noProof/>
        </w:rPr>
        <w:t>)</w:t>
      </w:r>
      <w:r w:rsidRPr="00A67022">
        <w:rPr>
          <w:noProof/>
        </w:rPr>
        <w:t>.</w:t>
      </w:r>
      <w:bookmarkStart w:id="1" w:name="bookmark12"/>
      <w:r w:rsidRPr="00A67022">
        <w:rPr>
          <w:noProof/>
        </w:rPr>
        <w:t xml:space="preserve">      </w:t>
      </w:r>
    </w:p>
    <w:p w14:paraId="485B6DB2" w14:textId="77777777" w:rsidR="00A67022" w:rsidRPr="00A67022" w:rsidRDefault="00A67022" w:rsidP="001B6CB1">
      <w:pPr>
        <w:keepNext/>
        <w:keepLines/>
        <w:widowControl w:val="0"/>
        <w:numPr>
          <w:ilvl w:val="0"/>
          <w:numId w:val="38"/>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1"/>
    </w:p>
    <w:p w14:paraId="485B6DB3" w14:textId="4213B99F"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DG </w:t>
      </w:r>
      <w:r w:rsidR="004334D8">
        <w:rPr>
          <w:noProof/>
          <w:color w:val="000000"/>
          <w:szCs w:val="24"/>
          <w:lang w:val="en-US" w:eastAsia="en-GB"/>
        </w:rPr>
        <w:t>MOVE</w:t>
      </w:r>
      <w:r w:rsidRPr="00A67022">
        <w:rPr>
          <w:noProof/>
          <w:color w:val="000000"/>
          <w:szCs w:val="24"/>
          <w:lang w:val="en-US" w:eastAsia="en-GB"/>
        </w:rPr>
        <w:t xml:space="preserve"> against the selection criteria listed in chapter 4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w:t>
      </w:r>
      <w:r w:rsidR="004334D8">
        <w:rPr>
          <w:noProof/>
          <w:color w:val="000000"/>
          <w:szCs w:val="24"/>
          <w:lang w:val="en-US" w:eastAsia="en-GB"/>
        </w:rPr>
        <w:t>sub-</w:t>
      </w:r>
      <w:r w:rsidRPr="00A67022">
        <w:rPr>
          <w:noProof/>
          <w:color w:val="000000"/>
          <w:szCs w:val="24"/>
          <w:lang w:val="en-US" w:eastAsia="en-GB"/>
        </w:rPr>
        <w:t xml:space="preserve">group. </w:t>
      </w:r>
    </w:p>
    <w:p w14:paraId="485B6DB4" w14:textId="4719EDF8" w:rsidR="00A67022" w:rsidRPr="00A67022" w:rsidRDefault="00A67022" w:rsidP="001B6CB1">
      <w:pPr>
        <w:spacing w:before="120" w:after="120"/>
        <w:rPr>
          <w:noProof/>
          <w:szCs w:val="24"/>
        </w:rPr>
      </w:pPr>
      <w:r w:rsidRPr="00A67022">
        <w:rPr>
          <w:noProof/>
          <w:szCs w:val="24"/>
        </w:rPr>
        <w:t xml:space="preserve">When defining the composition of the </w:t>
      </w:r>
      <w:r w:rsidR="004334D8" w:rsidRPr="004334D8">
        <w:rPr>
          <w:noProof/>
          <w:szCs w:val="24"/>
        </w:rPr>
        <w:t>sub-group</w:t>
      </w:r>
      <w:r w:rsidRPr="00A67022">
        <w:rPr>
          <w:noProof/>
          <w:szCs w:val="24"/>
        </w:rPr>
        <w:t xml:space="preserve">, DG </w:t>
      </w:r>
      <w:r w:rsidR="004334D8">
        <w:rPr>
          <w:noProof/>
          <w:szCs w:val="24"/>
        </w:rPr>
        <w:t>MOVE</w:t>
      </w:r>
      <w:r w:rsidRPr="00A67022">
        <w:rPr>
          <w:noProof/>
          <w:szCs w:val="24"/>
        </w:rPr>
        <w:t xml:space="preserve"> shall aim at ensuring, as far as  possible, a high level of expertise, as well as a balanced representation of relevant know</w:t>
      </w:r>
      <w:r w:rsidR="00147865">
        <w:rPr>
          <w:noProof/>
          <w:szCs w:val="24"/>
        </w:rPr>
        <w:t>-</w:t>
      </w:r>
      <w:r w:rsidRPr="00A67022">
        <w:rPr>
          <w:noProof/>
          <w:szCs w:val="24"/>
        </w:rPr>
        <w:t xml:space="preserve"> how and areas of interest, while taking into account the specific tasks of the </w:t>
      </w:r>
      <w:r w:rsidR="004334D8" w:rsidRPr="004334D8">
        <w:rPr>
          <w:noProof/>
          <w:szCs w:val="24"/>
        </w:rPr>
        <w:t>sub-group</w:t>
      </w:r>
      <w:r w:rsidRPr="00A67022">
        <w:rPr>
          <w:noProof/>
          <w:szCs w:val="24"/>
        </w:rPr>
        <w:t xml:space="preserve">, the type of expertise required, as well as the relevance of the applications received. </w:t>
      </w:r>
    </w:p>
    <w:p w14:paraId="485B6DB6" w14:textId="44C6401C" w:rsidR="00A67022" w:rsidRPr="00A67022" w:rsidRDefault="00A67022" w:rsidP="001B6CB1">
      <w:pPr>
        <w:spacing w:before="120" w:after="120"/>
        <w:rPr>
          <w:noProof/>
          <w:szCs w:val="24"/>
        </w:rPr>
      </w:pPr>
      <w:r w:rsidRPr="00A67022">
        <w:rPr>
          <w:noProof/>
          <w:szCs w:val="24"/>
        </w:rPr>
        <w:t>For any further information please contact</w:t>
      </w:r>
      <w:r w:rsidR="004334D8">
        <w:rPr>
          <w:noProof/>
          <w:szCs w:val="24"/>
        </w:rPr>
        <w:t xml:space="preserve"> DG MOVE at </w:t>
      </w:r>
      <w:r w:rsidRPr="00A67022">
        <w:rPr>
          <w:noProof/>
          <w:szCs w:val="24"/>
        </w:rPr>
        <w:t xml:space="preserve">e-mail: </w:t>
      </w:r>
      <w:hyperlink r:id="rId15" w:history="1">
        <w:r w:rsidR="004334D8" w:rsidRPr="00801138">
          <w:rPr>
            <w:rStyle w:val="Hyperlink"/>
            <w:noProof/>
            <w:szCs w:val="24"/>
          </w:rPr>
          <w:t>MOVE-C2-SECRETARIAT@ec.europa.eu</w:t>
        </w:r>
      </w:hyperlink>
      <w:r w:rsidR="004334D8">
        <w:rPr>
          <w:noProof/>
          <w:szCs w:val="24"/>
        </w:rPr>
        <w:t xml:space="preserve"> </w:t>
      </w:r>
      <w:r w:rsidRPr="00A67022">
        <w:rPr>
          <w:noProof/>
          <w:szCs w:val="24"/>
        </w:rPr>
        <w:t>.</w:t>
      </w:r>
    </w:p>
    <w:p w14:paraId="485B6DB7" w14:textId="77777777"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9" w14:textId="2602E03B" w:rsidR="00A67022" w:rsidRPr="00A67022" w:rsidRDefault="00B8741A" w:rsidP="00034001">
      <w:pPr>
        <w:pStyle w:val="ListDash"/>
        <w:rPr>
          <w:noProof/>
        </w:rPr>
      </w:pPr>
      <w:r>
        <w:rPr>
          <w:noProof/>
        </w:rPr>
        <w:t xml:space="preserve">Annex II: </w:t>
      </w:r>
      <w:r w:rsidR="00A67022" w:rsidRPr="00A67022">
        <w:rPr>
          <w:noProof/>
        </w:rPr>
        <w:t>Selection criteria form</w:t>
      </w:r>
    </w:p>
    <w:p w14:paraId="485B6DBC" w14:textId="5241CECF" w:rsidR="00A67022" w:rsidRPr="004334D8" w:rsidRDefault="00B8741A" w:rsidP="00576A4C">
      <w:pPr>
        <w:pStyle w:val="ListDash"/>
        <w:rPr>
          <w:bCs/>
          <w:noProof/>
        </w:rPr>
      </w:pPr>
      <w:r>
        <w:rPr>
          <w:noProof/>
        </w:rPr>
        <w:t xml:space="preserve">Annex III: </w:t>
      </w:r>
      <w:r w:rsidR="00A67022" w:rsidRPr="004334D8">
        <w:rPr>
          <w:bCs/>
          <w:noProof/>
        </w:rPr>
        <w:t>Privacy statement</w:t>
      </w:r>
    </w:p>
    <w:p w14:paraId="485B6DBD" w14:textId="77777777" w:rsidR="00A67022" w:rsidRPr="00A67022" w:rsidRDefault="00A67022" w:rsidP="001B6CB1">
      <w:pPr>
        <w:spacing w:before="120" w:after="120"/>
        <w:jc w:val="center"/>
        <w:rPr>
          <w:b/>
          <w:noProof/>
        </w:rPr>
      </w:pPr>
      <w:r w:rsidRPr="00A67022">
        <w:rPr>
          <w:b/>
          <w:noProof/>
        </w:rPr>
        <w:br w:type="page"/>
      </w:r>
      <w:r w:rsidRPr="00A67022">
        <w:rPr>
          <w:b/>
          <w:noProof/>
        </w:rPr>
        <w:lastRenderedPageBreak/>
        <w:t>Annex I - Classification form</w:t>
      </w:r>
      <w:r w:rsidRPr="00A67022">
        <w:rPr>
          <w:b/>
          <w:noProof/>
          <w:vertAlign w:val="superscript"/>
          <w:lang w:val="fr-BE"/>
        </w:rPr>
        <w:footnoteReference w:id="8"/>
      </w:r>
    </w:p>
    <w:p w14:paraId="485B6DBE"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485B6DBF" w14:textId="77777777" w:rsidR="00A67022" w:rsidRPr="00A67022" w:rsidRDefault="00A67022" w:rsidP="001B6CB1">
      <w:pPr>
        <w:spacing w:before="120" w:after="120"/>
        <w:rPr>
          <w:noProof/>
        </w:rPr>
      </w:pPr>
      <w:r w:rsidRPr="00A67022">
        <w:rPr>
          <w:noProof/>
        </w:rPr>
        <w:t>This application is made as: (</w:t>
      </w:r>
      <w:r w:rsidRPr="00A67022">
        <w:rPr>
          <w:b/>
          <w:i/>
          <w:noProof/>
        </w:rPr>
        <w:t xml:space="preserve">please select </w:t>
      </w:r>
      <w:r w:rsidRPr="00A67022">
        <w:rPr>
          <w:b/>
          <w:i/>
          <w:noProof/>
          <w:u w:val="single"/>
        </w:rPr>
        <w:t>only one</w:t>
      </w:r>
      <w:r w:rsidRPr="00A67022">
        <w:rPr>
          <w:b/>
          <w:i/>
          <w:noProof/>
        </w:rPr>
        <w:t xml:space="preserve"> option</w:t>
      </w:r>
      <w:r w:rsidRPr="00A67022">
        <w:rPr>
          <w:noProof/>
        </w:rPr>
        <w:t xml:space="preserve">) </w:t>
      </w:r>
    </w:p>
    <w:p w14:paraId="485B6DC5" w14:textId="77777777" w:rsidR="00A67022" w:rsidRPr="00A67022" w:rsidRDefault="00A67022" w:rsidP="001B6CB1">
      <w:pPr>
        <w:numPr>
          <w:ilvl w:val="0"/>
          <w:numId w:val="33"/>
        </w:numPr>
        <w:spacing w:before="120" w:after="120"/>
        <w:ind w:left="0"/>
        <w:jc w:val="left"/>
        <w:rPr>
          <w:noProof/>
        </w:rPr>
      </w:pPr>
      <w:r w:rsidRPr="00A67022">
        <w:rPr>
          <w:b/>
          <w:noProof/>
          <w:szCs w:val="24"/>
        </w:rPr>
        <w:t>An organisation (Type C member)</w:t>
      </w:r>
      <w:r w:rsidRPr="00A67022">
        <w:rPr>
          <w:noProof/>
          <w:szCs w:val="24"/>
        </w:rPr>
        <w:t xml:space="preserve">. </w:t>
      </w:r>
    </w:p>
    <w:p w14:paraId="485B6DC6" w14:textId="470CE175" w:rsidR="00A67022" w:rsidRDefault="00A67022" w:rsidP="001B6CB1">
      <w:pPr>
        <w:spacing w:before="120" w:after="120"/>
        <w:jc w:val="left"/>
        <w:rPr>
          <w:noProof/>
        </w:rPr>
      </w:pPr>
      <w:r w:rsidRPr="00A67022">
        <w:rPr>
          <w:noProof/>
        </w:rPr>
        <w:t>Transparency Register identification number: […]</w:t>
      </w:r>
    </w:p>
    <w:p w14:paraId="485B6DC7" w14:textId="77777777" w:rsidR="00A67022" w:rsidRPr="00A67022" w:rsidRDefault="00A67022" w:rsidP="001B6CB1">
      <w:pPr>
        <w:spacing w:before="120" w:after="120"/>
        <w:jc w:val="center"/>
        <w:rPr>
          <w:noProof/>
        </w:rPr>
      </w:pPr>
      <w:r w:rsidRPr="00A67022">
        <w:rPr>
          <w:noProof/>
        </w:rPr>
        <w:t>***</w:t>
      </w:r>
    </w:p>
    <w:p w14:paraId="485B6DC8"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485B6DC9"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485B6DCA" w14:textId="207897EC"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a) Academia, </w:t>
      </w:r>
      <w:r w:rsidR="00C16AD3">
        <w:rPr>
          <w:noProof/>
        </w:rPr>
        <w:t>R</w:t>
      </w:r>
      <w:r w:rsidRPr="00A67022">
        <w:rPr>
          <w:noProof/>
        </w:rPr>
        <w:t>esearch Institutes and Think Tanks</w:t>
      </w:r>
    </w:p>
    <w:p w14:paraId="485B6DCB"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b) Banks/Financial institutions </w:t>
      </w:r>
    </w:p>
    <w:p w14:paraId="485B6DCC"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c) Companies/groups</w:t>
      </w:r>
    </w:p>
    <w:p w14:paraId="485B6DCD"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d) Law firms</w:t>
      </w:r>
    </w:p>
    <w:p w14:paraId="485B6DCE"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e) NGOs</w:t>
      </w:r>
    </w:p>
    <w:p w14:paraId="485B6DCF"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f) Professionals’ associations</w:t>
      </w:r>
    </w:p>
    <w:p w14:paraId="485B6DD0"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g) Professional consultancies</w:t>
      </w:r>
    </w:p>
    <w:p w14:paraId="485B6DD1"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h) Trade and business associations</w:t>
      </w:r>
    </w:p>
    <w:p w14:paraId="485B6DD2"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i) Trade unions</w:t>
      </w:r>
    </w:p>
    <w:p w14:paraId="485B6DD3"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j) Other (please specify):</w:t>
      </w:r>
    </w:p>
    <w:p w14:paraId="485B6DD4" w14:textId="77777777" w:rsidR="00A67022" w:rsidRPr="00A67022" w:rsidRDefault="00A67022" w:rsidP="001B6CB1">
      <w:pPr>
        <w:tabs>
          <w:tab w:val="left" w:pos="0"/>
        </w:tabs>
        <w:spacing w:before="120" w:after="120"/>
        <w:jc w:val="left"/>
        <w:rPr>
          <w:noProof/>
        </w:rPr>
      </w:pPr>
    </w:p>
    <w:p w14:paraId="485B6DD5" w14:textId="77777777" w:rsidR="00A67022" w:rsidRPr="00A67022" w:rsidRDefault="00A67022" w:rsidP="001B6CB1">
      <w:pPr>
        <w:spacing w:before="120" w:after="120"/>
        <w:rPr>
          <w:noProof/>
          <w:u w:val="single"/>
        </w:rPr>
      </w:pPr>
      <w:r w:rsidRPr="00A67022">
        <w:rPr>
          <w:noProof/>
          <w:u w:val="single"/>
        </w:rPr>
        <w:t>Definitions for organisation types</w:t>
      </w:r>
    </w:p>
    <w:p w14:paraId="485B6DD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5B6DD7"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D8"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485B6DD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485B6DD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485B6DDB" w14:textId="77777777" w:rsidR="00A67022" w:rsidRPr="00A67022" w:rsidRDefault="00A67022" w:rsidP="001B6CB1">
      <w:pPr>
        <w:spacing w:before="120" w:after="120"/>
        <w:rPr>
          <w:noProof/>
          <w:szCs w:val="24"/>
          <w:lang w:eastAsia="en-GB"/>
        </w:rPr>
      </w:pPr>
      <w:r w:rsidRPr="00A67022">
        <w:rPr>
          <w:noProof/>
          <w:szCs w:val="24"/>
          <w:lang w:eastAsia="en-GB"/>
        </w:rPr>
        <w:lastRenderedPageBreak/>
        <w:t>Individual companies or groups of companies operating in the business sector, whether they are national companies or multinational ones.</w:t>
      </w:r>
    </w:p>
    <w:p w14:paraId="485B6DDC"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85B6DDD"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85B6DDE"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485B6DDF"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5B6DE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85B6DE1"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85B6DE2"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85B6DE3"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485B6DE4"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485B6DE5"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85B6DE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485B6DE7"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6"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485B6DE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85B6DE9"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85B6DEC" w14:textId="161F1E2B" w:rsidR="00A67022" w:rsidRPr="00A67022" w:rsidRDefault="00A67022" w:rsidP="00C70522">
      <w:pPr>
        <w:spacing w:before="120" w:after="120"/>
        <w:contextualSpacing/>
        <w:jc w:val="left"/>
        <w:rPr>
          <w:noProof/>
          <w:szCs w:val="24"/>
        </w:rPr>
      </w:pPr>
      <w:r w:rsidRPr="00A67022">
        <w:rPr>
          <w:noProof/>
          <w:szCs w:val="24"/>
          <w:lang w:val="en" w:eastAsia="en-GB"/>
        </w:rPr>
        <w:t>***</w:t>
      </w:r>
    </w:p>
    <w:p w14:paraId="485B6DED"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485B6DEE" w14:textId="77777777" w:rsidR="00A67022" w:rsidRPr="00A67022" w:rsidRDefault="00A67022" w:rsidP="001B6CB1">
      <w:pPr>
        <w:numPr>
          <w:ilvl w:val="0"/>
          <w:numId w:val="32"/>
        </w:numPr>
        <w:spacing w:before="120" w:after="120"/>
        <w:ind w:left="0"/>
        <w:rPr>
          <w:noProof/>
          <w:szCs w:val="24"/>
        </w:rPr>
      </w:pPr>
      <w:r w:rsidRPr="00A67022">
        <w:rPr>
          <w:noProof/>
          <w:szCs w:val="24"/>
        </w:rPr>
        <w:t>a) Academia/Research</w:t>
      </w:r>
    </w:p>
    <w:p w14:paraId="485B6DEF" w14:textId="77777777" w:rsidR="00A67022" w:rsidRPr="00A67022" w:rsidRDefault="00A67022" w:rsidP="001B6CB1">
      <w:pPr>
        <w:numPr>
          <w:ilvl w:val="0"/>
          <w:numId w:val="32"/>
        </w:numPr>
        <w:spacing w:before="120" w:after="120"/>
        <w:ind w:left="0"/>
        <w:rPr>
          <w:noProof/>
          <w:szCs w:val="24"/>
        </w:rPr>
      </w:pPr>
      <w:r w:rsidRPr="00A67022">
        <w:rPr>
          <w:noProof/>
          <w:szCs w:val="24"/>
        </w:rPr>
        <w:t xml:space="preserve">b) Civil society </w:t>
      </w:r>
    </w:p>
    <w:p w14:paraId="485B6DF0" w14:textId="77777777" w:rsidR="00A67022" w:rsidRPr="00A67022" w:rsidRDefault="00A67022" w:rsidP="001B6CB1">
      <w:pPr>
        <w:numPr>
          <w:ilvl w:val="0"/>
          <w:numId w:val="32"/>
        </w:numPr>
        <w:spacing w:before="120" w:after="120"/>
        <w:ind w:left="0"/>
        <w:rPr>
          <w:noProof/>
          <w:szCs w:val="24"/>
        </w:rPr>
      </w:pPr>
      <w:r w:rsidRPr="00A67022">
        <w:rPr>
          <w:noProof/>
          <w:szCs w:val="24"/>
        </w:rPr>
        <w:t>c) Employees/Workers</w:t>
      </w:r>
    </w:p>
    <w:p w14:paraId="485B6DF1" w14:textId="77777777" w:rsidR="00A67022" w:rsidRPr="00A67022" w:rsidRDefault="00A67022" w:rsidP="001B6CB1">
      <w:pPr>
        <w:numPr>
          <w:ilvl w:val="0"/>
          <w:numId w:val="32"/>
        </w:numPr>
        <w:spacing w:before="120" w:after="120"/>
        <w:ind w:left="0"/>
        <w:rPr>
          <w:noProof/>
          <w:szCs w:val="24"/>
        </w:rPr>
      </w:pPr>
      <w:r w:rsidRPr="00A67022">
        <w:rPr>
          <w:noProof/>
          <w:szCs w:val="24"/>
        </w:rPr>
        <w:lastRenderedPageBreak/>
        <w:t>d) Finance</w:t>
      </w:r>
    </w:p>
    <w:p w14:paraId="485B6DF2" w14:textId="77777777" w:rsidR="00A67022" w:rsidRPr="00A67022" w:rsidRDefault="00A67022" w:rsidP="001B6CB1">
      <w:pPr>
        <w:numPr>
          <w:ilvl w:val="0"/>
          <w:numId w:val="32"/>
        </w:numPr>
        <w:spacing w:before="120" w:after="120"/>
        <w:ind w:left="0"/>
        <w:rPr>
          <w:noProof/>
          <w:szCs w:val="24"/>
        </w:rPr>
      </w:pPr>
      <w:r w:rsidRPr="00A67022">
        <w:rPr>
          <w:noProof/>
          <w:szCs w:val="24"/>
        </w:rPr>
        <w:t>e) Industry</w:t>
      </w:r>
    </w:p>
    <w:p w14:paraId="485B6DF3" w14:textId="77777777" w:rsidR="00A67022" w:rsidRPr="00A67022" w:rsidRDefault="00A67022" w:rsidP="001B6CB1">
      <w:pPr>
        <w:numPr>
          <w:ilvl w:val="0"/>
          <w:numId w:val="32"/>
        </w:numPr>
        <w:spacing w:before="120" w:after="120"/>
        <w:ind w:left="0"/>
        <w:rPr>
          <w:noProof/>
          <w:szCs w:val="24"/>
        </w:rPr>
      </w:pPr>
      <w:r w:rsidRPr="00A67022">
        <w:rPr>
          <w:noProof/>
          <w:szCs w:val="24"/>
        </w:rPr>
        <w:t>f) Professionals</w:t>
      </w:r>
    </w:p>
    <w:p w14:paraId="485B6DF4" w14:textId="77777777" w:rsidR="00A67022" w:rsidRPr="00A67022" w:rsidRDefault="00A67022" w:rsidP="001B6CB1">
      <w:pPr>
        <w:numPr>
          <w:ilvl w:val="0"/>
          <w:numId w:val="32"/>
        </w:numPr>
        <w:spacing w:before="120" w:after="120"/>
        <w:ind w:left="0"/>
        <w:rPr>
          <w:noProof/>
          <w:szCs w:val="24"/>
        </w:rPr>
      </w:pPr>
      <w:r w:rsidRPr="00A67022">
        <w:rPr>
          <w:noProof/>
          <w:szCs w:val="24"/>
        </w:rPr>
        <w:t>g) SMEs</w:t>
      </w:r>
    </w:p>
    <w:p w14:paraId="485B6DF5" w14:textId="77777777" w:rsidR="00A67022" w:rsidRPr="00A67022" w:rsidRDefault="00A67022" w:rsidP="001B6CB1">
      <w:pPr>
        <w:numPr>
          <w:ilvl w:val="0"/>
          <w:numId w:val="32"/>
        </w:numPr>
        <w:spacing w:before="120" w:after="120"/>
        <w:ind w:left="0"/>
        <w:jc w:val="left"/>
        <w:rPr>
          <w:noProof/>
        </w:rPr>
      </w:pPr>
      <w:r w:rsidRPr="00A67022">
        <w:rPr>
          <w:noProof/>
          <w:szCs w:val="24"/>
        </w:rPr>
        <w:t>h) Other (please specify):</w:t>
      </w:r>
    </w:p>
    <w:p w14:paraId="485B6DF6"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85B6DF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485B6DF8"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F9"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485B6DFA"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85B6DFB"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85B6DFC" w14:textId="4D69090F"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w:t>
      </w:r>
      <w:r w:rsidR="00B3528D">
        <w:rPr>
          <w:noProof/>
          <w:szCs w:val="24"/>
          <w:lang w:eastAsia="en-GB"/>
        </w:rPr>
        <w:t>s</w:t>
      </w:r>
      <w:r w:rsidRPr="00A67022">
        <w:rPr>
          <w:noProof/>
          <w:szCs w:val="24"/>
          <w:lang w:eastAsia="en-GB"/>
        </w:rPr>
        <w:t>ed rights and duties.</w:t>
      </w:r>
    </w:p>
    <w:p w14:paraId="485B6DFD"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485B6DFE"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85B6DFF"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485B6E00"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485B6E01"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485B6E0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485B6E03"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485B6E04"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7"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485B6EA2" wp14:editId="485B6EA3">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85B6E05"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485B6E06" w14:textId="77777777" w:rsidR="00A67022" w:rsidRPr="00A67022" w:rsidRDefault="00A67022" w:rsidP="001B6CB1">
      <w:pPr>
        <w:numPr>
          <w:ilvl w:val="0"/>
          <w:numId w:val="3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485B6E07" w14:textId="77777777" w:rsidR="00A67022" w:rsidRPr="00A67022" w:rsidRDefault="00A67022" w:rsidP="001B6CB1">
      <w:pPr>
        <w:numPr>
          <w:ilvl w:val="0"/>
          <w:numId w:val="3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85B6E0D" w14:textId="77777777" w:rsidTr="005D72C9">
        <w:trPr>
          <w:tblCellSpacing w:w="15" w:type="dxa"/>
        </w:trPr>
        <w:tc>
          <w:tcPr>
            <w:tcW w:w="0" w:type="auto"/>
            <w:vAlign w:val="center"/>
            <w:hideMark/>
          </w:tcPr>
          <w:p w14:paraId="485B6E0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lastRenderedPageBreak/>
              <w:t>Company category</w:t>
            </w:r>
            <w:r w:rsidRPr="00A67022">
              <w:rPr>
                <w:noProof/>
                <w:szCs w:val="24"/>
                <w:u w:val="single"/>
                <w:lang w:eastAsia="en-GB"/>
              </w:rPr>
              <w:t xml:space="preserve"> </w:t>
            </w:r>
          </w:p>
        </w:tc>
        <w:tc>
          <w:tcPr>
            <w:tcW w:w="0" w:type="auto"/>
            <w:vAlign w:val="center"/>
            <w:hideMark/>
          </w:tcPr>
          <w:p w14:paraId="485B6E0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85B6E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485B6E0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85B6E0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485B6E12" w14:textId="77777777" w:rsidTr="005D72C9">
        <w:trPr>
          <w:tblCellSpacing w:w="15" w:type="dxa"/>
        </w:trPr>
        <w:tc>
          <w:tcPr>
            <w:tcW w:w="0" w:type="auto"/>
            <w:vAlign w:val="center"/>
            <w:hideMark/>
          </w:tcPr>
          <w:p w14:paraId="485B6E0E"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485B6E0F"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85B6E10"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485B6E11"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85B6E17" w14:textId="77777777" w:rsidTr="005D72C9">
        <w:trPr>
          <w:tblCellSpacing w:w="15" w:type="dxa"/>
        </w:trPr>
        <w:tc>
          <w:tcPr>
            <w:tcW w:w="0" w:type="auto"/>
            <w:vAlign w:val="center"/>
            <w:hideMark/>
          </w:tcPr>
          <w:p w14:paraId="485B6E13"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485B6E14"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485B6E15"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485B6E16"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85B6E1C" w14:textId="77777777" w:rsidTr="005D72C9">
        <w:trPr>
          <w:tblCellSpacing w:w="15" w:type="dxa"/>
        </w:trPr>
        <w:tc>
          <w:tcPr>
            <w:tcW w:w="0" w:type="auto"/>
            <w:vAlign w:val="center"/>
            <w:hideMark/>
          </w:tcPr>
          <w:p w14:paraId="485B6E18"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85B6E19"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85B6E1A"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485B6E1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85B6E1D"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485B6E1E"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485B6E1F"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485B6E21" w14:textId="396BCB43" w:rsidR="00A67022" w:rsidRPr="00A67022" w:rsidRDefault="00A67022" w:rsidP="001E2CB6">
      <w:pPr>
        <w:spacing w:before="120" w:after="120"/>
        <w:jc w:val="center"/>
        <w:rPr>
          <w:noProof/>
          <w:szCs w:val="24"/>
        </w:rPr>
      </w:pPr>
      <w:r w:rsidRPr="00A67022">
        <w:rPr>
          <w:noProof/>
          <w:szCs w:val="24"/>
          <w:lang w:val="en" w:eastAsia="en-GB"/>
        </w:rPr>
        <w:t>***</w:t>
      </w:r>
    </w:p>
    <w:p w14:paraId="485B6E22" w14:textId="02FB826F"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your organisation operate(s):</w:t>
      </w:r>
    </w:p>
    <w:p w14:paraId="485B6E2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Agriculture</w:t>
      </w:r>
    </w:p>
    <w:p w14:paraId="485B6E2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Archaeology</w:t>
      </w:r>
    </w:p>
    <w:p w14:paraId="485B6E2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Architecture</w:t>
      </w:r>
    </w:p>
    <w:p w14:paraId="485B6E2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Audiovisual and media</w:t>
      </w:r>
    </w:p>
    <w:p w14:paraId="485B6E2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Audit</w:t>
      </w:r>
    </w:p>
    <w:p w14:paraId="485B6E2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Banking</w:t>
      </w:r>
    </w:p>
    <w:p w14:paraId="485B6E2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Biodiversity</w:t>
      </w:r>
    </w:p>
    <w:p w14:paraId="485B6E2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protection</w:t>
      </w:r>
    </w:p>
    <w:p w14:paraId="485B6E2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service</w:t>
      </w:r>
    </w:p>
    <w:p w14:paraId="485B6E2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Climate</w:t>
      </w:r>
    </w:p>
    <w:p w14:paraId="485B6E2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Competition</w:t>
      </w:r>
    </w:p>
    <w:p w14:paraId="485B6E2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Conservation</w:t>
      </w:r>
    </w:p>
    <w:p w14:paraId="485B6E2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Consumer affairs</w:t>
      </w:r>
    </w:p>
    <w:p w14:paraId="485B6E3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Culture</w:t>
      </w:r>
    </w:p>
    <w:p w14:paraId="485B6E31" w14:textId="518D537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h</w:t>
      </w:r>
      <w:r w:rsidRPr="00A67022">
        <w:rPr>
          <w:noProof/>
          <w:szCs w:val="24"/>
        </w:rPr>
        <w:t>eritage</w:t>
      </w:r>
    </w:p>
    <w:p w14:paraId="485B6E32" w14:textId="35C9212E"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l</w:t>
      </w:r>
      <w:r w:rsidRPr="00A67022">
        <w:rPr>
          <w:noProof/>
          <w:szCs w:val="24"/>
        </w:rPr>
        <w:t>andscape</w:t>
      </w:r>
    </w:p>
    <w:p w14:paraId="485B6E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Customs</w:t>
      </w:r>
    </w:p>
    <w:p w14:paraId="485B6E3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Development</w:t>
      </w:r>
    </w:p>
    <w:p w14:paraId="485B6E35" w14:textId="33AAC5D9"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Disaster </w:t>
      </w:r>
      <w:r w:rsidR="00115AAE">
        <w:rPr>
          <w:noProof/>
          <w:szCs w:val="24"/>
        </w:rPr>
        <w:t>r</w:t>
      </w:r>
      <w:r w:rsidRPr="00A67022">
        <w:rPr>
          <w:noProof/>
          <w:szCs w:val="24"/>
        </w:rPr>
        <w:t xml:space="preserve">isk </w:t>
      </w:r>
      <w:r w:rsidR="00115AAE">
        <w:rPr>
          <w:noProof/>
          <w:szCs w:val="24"/>
        </w:rPr>
        <w:t>r</w:t>
      </w:r>
      <w:r w:rsidRPr="00A67022">
        <w:rPr>
          <w:noProof/>
          <w:szCs w:val="24"/>
        </w:rPr>
        <w:t>eduction</w:t>
      </w:r>
    </w:p>
    <w:p w14:paraId="485B6E3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Economy</w:t>
      </w:r>
    </w:p>
    <w:p w14:paraId="485B6E3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Education</w:t>
      </w:r>
    </w:p>
    <w:p w14:paraId="485B6E3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Employment and social affairs</w:t>
      </w:r>
    </w:p>
    <w:p w14:paraId="485B6E3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Energy</w:t>
      </w:r>
    </w:p>
    <w:p w14:paraId="485B6E3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(chemical)</w:t>
      </w:r>
    </w:p>
    <w:p w14:paraId="485B6E3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(civil)</w:t>
      </w:r>
    </w:p>
    <w:p w14:paraId="485B6E3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(infrastructure)</w:t>
      </w:r>
    </w:p>
    <w:p w14:paraId="485B6E3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(IT)</w:t>
      </w:r>
    </w:p>
    <w:p w14:paraId="485B6E3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(maritime)</w:t>
      </w:r>
    </w:p>
    <w:p w14:paraId="485B6E3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policy)</w:t>
      </w:r>
    </w:p>
    <w:p w14:paraId="485B6E4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research)</w:t>
      </w:r>
    </w:p>
    <w:p w14:paraId="485B6E41"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Enlargement</w:t>
      </w:r>
    </w:p>
    <w:p w14:paraId="485B6E42"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Environment</w:t>
      </w:r>
    </w:p>
    <w:p w14:paraId="485B6E43"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lastRenderedPageBreak/>
        <w:t>Equal opportunities</w:t>
      </w:r>
    </w:p>
    <w:p w14:paraId="485B6E44"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External relations</w:t>
      </w:r>
    </w:p>
    <w:p w14:paraId="485B6E4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External trade</w:t>
      </w:r>
    </w:p>
    <w:p w14:paraId="485B6E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Finance</w:t>
      </w:r>
    </w:p>
    <w:p w14:paraId="485B6E4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Fisheries and aquaculture</w:t>
      </w:r>
    </w:p>
    <w:p w14:paraId="485B6E4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Food safety</w:t>
      </w:r>
    </w:p>
    <w:p w14:paraId="485B6E4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Forestry</w:t>
      </w:r>
    </w:p>
    <w:p w14:paraId="485B6E4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Fundamental rights</w:t>
      </w:r>
    </w:p>
    <w:p w14:paraId="485B6E4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Humanitarian aid</w:t>
      </w:r>
    </w:p>
    <w:p w14:paraId="485B6E4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Industry</w:t>
      </w:r>
    </w:p>
    <w:p w14:paraId="485B6E4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Information society</w:t>
      </w:r>
    </w:p>
    <w:p w14:paraId="485B6E4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Innovation</w:t>
      </w:r>
    </w:p>
    <w:p w14:paraId="485B6E4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Insurance</w:t>
      </w:r>
    </w:p>
    <w:p w14:paraId="485B6E5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Labour</w:t>
      </w:r>
    </w:p>
    <w:p w14:paraId="485B6E5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Land management</w:t>
      </w:r>
    </w:p>
    <w:p w14:paraId="485B6E5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(civil)</w:t>
      </w:r>
    </w:p>
    <w:p w14:paraId="485B6E5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(corporate)</w:t>
      </w:r>
    </w:p>
    <w:p w14:paraId="485B6E5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(criminal)</w:t>
      </w:r>
    </w:p>
    <w:p w14:paraId="485B6E5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(taxation)</w:t>
      </w:r>
    </w:p>
    <w:p w14:paraId="485B6E56" w14:textId="3974E9FB"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Linguistics and </w:t>
      </w:r>
      <w:r w:rsidR="00115AAE">
        <w:rPr>
          <w:noProof/>
          <w:szCs w:val="24"/>
        </w:rPr>
        <w:t>t</w:t>
      </w:r>
      <w:r w:rsidRPr="00A67022">
        <w:rPr>
          <w:noProof/>
          <w:szCs w:val="24"/>
        </w:rPr>
        <w:t>erminology</w:t>
      </w:r>
    </w:p>
    <w:p w14:paraId="485B6E5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Livestock</w:t>
      </w:r>
    </w:p>
    <w:p w14:paraId="485B6E5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Medical profession</w:t>
      </w:r>
    </w:p>
    <w:p w14:paraId="485B6E5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Migration</w:t>
      </w:r>
    </w:p>
    <w:p w14:paraId="485B6E5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Natural resources</w:t>
      </w:r>
    </w:p>
    <w:p w14:paraId="485B6E5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Plant production</w:t>
      </w:r>
    </w:p>
    <w:p w14:paraId="485B6E5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affairs</w:t>
      </w:r>
    </w:p>
    <w:p w14:paraId="485B6E5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health</w:t>
      </w:r>
    </w:p>
    <w:p w14:paraId="485B6E5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relations</w:t>
      </w:r>
    </w:p>
    <w:p w14:paraId="485B6E5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Raw materials</w:t>
      </w:r>
    </w:p>
    <w:p w14:paraId="485B6E6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Research</w:t>
      </w:r>
    </w:p>
    <w:p w14:paraId="485B6E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Science</w:t>
      </w:r>
    </w:p>
    <w:p w14:paraId="485B6E6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Science diplomacy </w:t>
      </w:r>
    </w:p>
    <w:p w14:paraId="485B6E6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Security</w:t>
      </w:r>
    </w:p>
    <w:p w14:paraId="485B6E6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Smart specialisation</w:t>
      </w:r>
    </w:p>
    <w:p w14:paraId="485B6E6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Social service</w:t>
      </w:r>
    </w:p>
    <w:p w14:paraId="485B6E66" w14:textId="5541029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(policy)</w:t>
      </w:r>
    </w:p>
    <w:p w14:paraId="485B6E67" w14:textId="3A0E6FB2"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(research)</w:t>
      </w:r>
    </w:p>
    <w:p w14:paraId="485B6E6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Sport</w:t>
      </w:r>
    </w:p>
    <w:p w14:paraId="485B6E6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Statistics</w:t>
      </w:r>
    </w:p>
    <w:p w14:paraId="485B6E6A" w14:textId="56DFC2A6"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Sustainable </w:t>
      </w:r>
      <w:r w:rsidR="00115AAE">
        <w:rPr>
          <w:noProof/>
          <w:szCs w:val="24"/>
        </w:rPr>
        <w:t>d</w:t>
      </w:r>
      <w:r w:rsidRPr="00A67022">
        <w:rPr>
          <w:noProof/>
          <w:szCs w:val="24"/>
        </w:rPr>
        <w:t>evelopment</w:t>
      </w:r>
    </w:p>
    <w:p w14:paraId="485B6E6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Systemic eco-innovation</w:t>
      </w:r>
    </w:p>
    <w:p w14:paraId="485B6E6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Tax</w:t>
      </w:r>
    </w:p>
    <w:p w14:paraId="485B6E6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Trade</w:t>
      </w:r>
    </w:p>
    <w:p w14:paraId="485B6E6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Training</w:t>
      </w:r>
    </w:p>
    <w:p w14:paraId="485B6E6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Transport</w:t>
      </w:r>
    </w:p>
    <w:p w14:paraId="485B6E7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Urban development</w:t>
      </w:r>
    </w:p>
    <w:p w14:paraId="485B6E7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Water</w:t>
      </w:r>
    </w:p>
    <w:p w14:paraId="485B6E7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Youth</w:t>
      </w:r>
    </w:p>
    <w:p w14:paraId="485B6E7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Other</w:t>
      </w:r>
    </w:p>
    <w:p w14:paraId="485B6E74" w14:textId="77777777" w:rsidR="00A67022" w:rsidRPr="00A67022" w:rsidRDefault="00A67022" w:rsidP="001B6CB1">
      <w:pPr>
        <w:spacing w:before="120" w:after="120"/>
        <w:rPr>
          <w:noProof/>
          <w:u w:val="single"/>
        </w:rPr>
      </w:pPr>
    </w:p>
    <w:p w14:paraId="485B6E7B" w14:textId="77777777" w:rsidR="00A67022" w:rsidRPr="00A67022" w:rsidRDefault="00A67022" w:rsidP="001B6CB1">
      <w:pPr>
        <w:spacing w:before="120" w:after="120"/>
        <w:rPr>
          <w:noProof/>
          <w:u w:val="single"/>
        </w:rPr>
      </w:pPr>
    </w:p>
    <w:p w14:paraId="485B6E84"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lastRenderedPageBreak/>
        <w:t>Annex II: Selection criteria form</w:t>
      </w:r>
      <w:r w:rsidRPr="00A67022">
        <w:rPr>
          <w:b/>
          <w:noProof/>
          <w:sz w:val="28"/>
          <w:vertAlign w:val="superscript"/>
          <w:lang w:val="fr-BE"/>
        </w:rPr>
        <w:footnoteReference w:id="9"/>
      </w:r>
    </w:p>
    <w:p w14:paraId="485B6E85" w14:textId="49CA3924" w:rsidR="00A67022" w:rsidRDefault="00A67022" w:rsidP="001B6CB1">
      <w:pPr>
        <w:tabs>
          <w:tab w:val="right" w:leader="dot" w:pos="9071"/>
        </w:tabs>
        <w:spacing w:before="120" w:after="120"/>
        <w:ind w:hanging="850"/>
        <w:rPr>
          <w:noProof/>
          <w:color w:val="000000"/>
          <w:szCs w:val="24"/>
          <w:lang w:val="en-US" w:eastAsia="en-GB"/>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p w14:paraId="6DFEF03E" w14:textId="77777777" w:rsidR="0036445B" w:rsidRPr="00A67022" w:rsidRDefault="0036445B" w:rsidP="001B6CB1">
      <w:pPr>
        <w:tabs>
          <w:tab w:val="right" w:leader="dot" w:pos="9071"/>
        </w:tabs>
        <w:spacing w:before="120" w:after="120"/>
        <w:ind w:hanging="85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73"/>
      </w:tblGrid>
      <w:tr w:rsidR="00A67022" w:rsidRPr="00A67022" w14:paraId="485B6E88" w14:textId="77777777" w:rsidTr="00C2235E">
        <w:tc>
          <w:tcPr>
            <w:tcW w:w="4461" w:type="dxa"/>
            <w:shd w:val="clear" w:color="auto" w:fill="auto"/>
          </w:tcPr>
          <w:p w14:paraId="485B6E86" w14:textId="21B71E83" w:rsidR="00A67022" w:rsidRPr="00A67022" w:rsidRDefault="00C2235E" w:rsidP="001B6CB1">
            <w:pPr>
              <w:tabs>
                <w:tab w:val="left" w:pos="0"/>
              </w:tabs>
              <w:spacing w:before="120" w:after="120"/>
              <w:rPr>
                <w:noProof/>
                <w:szCs w:val="24"/>
              </w:rPr>
            </w:pPr>
            <w:r>
              <w:rPr>
                <w:noProof/>
                <w:szCs w:val="24"/>
              </w:rPr>
              <w:t>P</w:t>
            </w:r>
            <w:r w:rsidRPr="00C2235E">
              <w:rPr>
                <w:noProof/>
                <w:szCs w:val="24"/>
              </w:rPr>
              <w:t xml:space="preserve">roven and relevant competence and experience, including at European and / or international level, in areas relevant to the design of safe road infrastructure </w:t>
            </w:r>
          </w:p>
        </w:tc>
        <w:tc>
          <w:tcPr>
            <w:tcW w:w="4373" w:type="dxa"/>
            <w:shd w:val="clear" w:color="auto" w:fill="auto"/>
          </w:tcPr>
          <w:p w14:paraId="485B6E87" w14:textId="77777777" w:rsidR="00A67022" w:rsidRPr="00A67022" w:rsidRDefault="00A67022" w:rsidP="001B6CB1">
            <w:pPr>
              <w:tabs>
                <w:tab w:val="left" w:pos="0"/>
              </w:tabs>
              <w:spacing w:before="120" w:after="120"/>
              <w:rPr>
                <w:noProof/>
                <w:szCs w:val="24"/>
              </w:rPr>
            </w:pPr>
          </w:p>
        </w:tc>
      </w:tr>
      <w:tr w:rsidR="00A67022" w:rsidRPr="00A67022" w14:paraId="485B6E8E" w14:textId="77777777" w:rsidTr="00C2235E">
        <w:tc>
          <w:tcPr>
            <w:tcW w:w="4461" w:type="dxa"/>
            <w:shd w:val="clear" w:color="auto" w:fill="auto"/>
          </w:tcPr>
          <w:p w14:paraId="485B6E8C" w14:textId="091A3B12" w:rsidR="00A67022" w:rsidRPr="00A67022" w:rsidRDefault="00A67022" w:rsidP="001B6CB1">
            <w:pPr>
              <w:tabs>
                <w:tab w:val="left" w:pos="0"/>
              </w:tabs>
              <w:spacing w:before="120" w:after="120"/>
              <w:rPr>
                <w:noProof/>
                <w:szCs w:val="24"/>
              </w:rPr>
            </w:pPr>
            <w:r w:rsidRPr="00A67022">
              <w:rPr>
                <w:noProof/>
                <w:color w:val="000000"/>
                <w:szCs w:val="24"/>
                <w:lang w:val="en-US" w:eastAsia="en-GB"/>
              </w:rPr>
              <w:t>Competence, experience and hierarchical level of the proposed representatives</w:t>
            </w:r>
            <w:r w:rsidR="00C2235E">
              <w:rPr>
                <w:noProof/>
                <w:color w:val="000000"/>
                <w:szCs w:val="24"/>
                <w:lang w:val="en-US" w:eastAsia="en-GB"/>
              </w:rPr>
              <w:t xml:space="preserve"> </w:t>
            </w:r>
          </w:p>
        </w:tc>
        <w:tc>
          <w:tcPr>
            <w:tcW w:w="4373" w:type="dxa"/>
            <w:shd w:val="clear" w:color="auto" w:fill="auto"/>
          </w:tcPr>
          <w:p w14:paraId="485B6E8D" w14:textId="77777777" w:rsidR="00A67022" w:rsidRPr="00A67022" w:rsidRDefault="00A67022" w:rsidP="001B6CB1">
            <w:pPr>
              <w:tabs>
                <w:tab w:val="left" w:pos="0"/>
              </w:tabs>
              <w:spacing w:before="120" w:after="120"/>
              <w:rPr>
                <w:noProof/>
                <w:szCs w:val="24"/>
              </w:rPr>
            </w:pPr>
          </w:p>
        </w:tc>
      </w:tr>
      <w:tr w:rsidR="00A67022" w:rsidRPr="00A67022" w14:paraId="485B6E91" w14:textId="77777777" w:rsidTr="00C2235E">
        <w:tc>
          <w:tcPr>
            <w:tcW w:w="4461" w:type="dxa"/>
            <w:shd w:val="clear" w:color="auto" w:fill="auto"/>
          </w:tcPr>
          <w:p w14:paraId="485B6E8F" w14:textId="4E58CCD9" w:rsidR="00A67022" w:rsidRPr="00A67022" w:rsidRDefault="00A67022" w:rsidP="001B6CB1">
            <w:pPr>
              <w:tabs>
                <w:tab w:val="left" w:pos="0"/>
              </w:tabs>
              <w:spacing w:before="120" w:after="120"/>
              <w:rPr>
                <w:noProof/>
                <w:szCs w:val="24"/>
              </w:rPr>
            </w:pPr>
            <w:r w:rsidRPr="00A67022">
              <w:rPr>
                <w:noProof/>
                <w:szCs w:val="24"/>
              </w:rPr>
              <w:t>Good knowledge of the English language</w:t>
            </w:r>
            <w:r w:rsidR="00C2235E">
              <w:rPr>
                <w:noProof/>
                <w:szCs w:val="24"/>
              </w:rPr>
              <w:t xml:space="preserve"> </w:t>
            </w:r>
          </w:p>
        </w:tc>
        <w:tc>
          <w:tcPr>
            <w:tcW w:w="4373" w:type="dxa"/>
            <w:shd w:val="clear" w:color="auto" w:fill="auto"/>
          </w:tcPr>
          <w:p w14:paraId="485B6E90" w14:textId="77777777" w:rsidR="00A67022" w:rsidRPr="00A67022" w:rsidRDefault="00A67022" w:rsidP="001B6CB1">
            <w:pPr>
              <w:tabs>
                <w:tab w:val="left" w:pos="0"/>
              </w:tabs>
              <w:spacing w:before="120" w:after="120"/>
              <w:rPr>
                <w:noProof/>
                <w:szCs w:val="24"/>
              </w:rPr>
            </w:pPr>
          </w:p>
        </w:tc>
      </w:tr>
    </w:tbl>
    <w:p w14:paraId="56D698D1" w14:textId="77777777" w:rsidR="009C3866" w:rsidRDefault="009C3866" w:rsidP="001B6CB1">
      <w:pPr>
        <w:spacing w:before="120" w:after="120"/>
        <w:rPr>
          <w:noProof/>
          <w:u w:val="single"/>
        </w:rPr>
      </w:pPr>
    </w:p>
    <w:p w14:paraId="485B6E9A" w14:textId="77777777" w:rsidR="00A67022" w:rsidRPr="00A67022" w:rsidRDefault="00A67022" w:rsidP="001B6CB1">
      <w:pPr>
        <w:spacing w:before="120" w:after="120"/>
        <w:rPr>
          <w:noProof/>
          <w:u w:val="single"/>
        </w:rPr>
      </w:pPr>
      <w:r w:rsidRPr="00A67022">
        <w:rPr>
          <w:noProof/>
          <w:u w:val="single"/>
        </w:rPr>
        <w:t>For organisations applying to be appointed as Type C members</w:t>
      </w:r>
    </w:p>
    <w:p w14:paraId="485B6E9B"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0"/>
      </w:r>
      <w:r w:rsidRPr="00A67022">
        <w:rPr>
          <w:noProof/>
        </w:rPr>
        <w:t>: ………………….</w:t>
      </w:r>
    </w:p>
    <w:p w14:paraId="485B6E9C" w14:textId="77777777" w:rsidR="00A67022" w:rsidRPr="00A67022" w:rsidRDefault="00A67022" w:rsidP="001B6CB1">
      <w:pPr>
        <w:spacing w:before="120" w:after="120"/>
        <w:rPr>
          <w:noProof/>
        </w:rPr>
      </w:pPr>
      <w:r w:rsidRPr="00A67022">
        <w:rPr>
          <w:noProof/>
        </w:rPr>
        <w:t>Surname of the representative proposed: ………………….</w:t>
      </w:r>
    </w:p>
    <w:p w14:paraId="485B6E9D" w14:textId="77777777" w:rsidR="00A67022" w:rsidRPr="00A67022" w:rsidRDefault="00A67022" w:rsidP="001B6CB1">
      <w:pPr>
        <w:spacing w:before="120" w:after="120"/>
        <w:rPr>
          <w:noProof/>
        </w:rPr>
      </w:pPr>
      <w:r w:rsidRPr="00A67022">
        <w:rPr>
          <w:noProof/>
        </w:rPr>
        <w:t>First name of the representative proposed: ………………….</w:t>
      </w:r>
    </w:p>
    <w:p w14:paraId="485B6E9E" w14:textId="77777777" w:rsidR="00A67022" w:rsidRPr="00A67022" w:rsidRDefault="00A67022" w:rsidP="001B6CB1">
      <w:pPr>
        <w:spacing w:before="120" w:after="120"/>
        <w:rPr>
          <w:noProof/>
        </w:rPr>
      </w:pPr>
      <w:r w:rsidRPr="00A67022">
        <w:rPr>
          <w:noProof/>
        </w:rPr>
        <w:t>Surname of the person applying on behalf of the organisation: ………………….</w:t>
      </w:r>
    </w:p>
    <w:p w14:paraId="485B6E9F" w14:textId="77777777" w:rsidR="00A67022" w:rsidRPr="00A67022" w:rsidRDefault="00A67022" w:rsidP="001B6CB1">
      <w:pPr>
        <w:spacing w:before="120" w:after="120"/>
        <w:rPr>
          <w:noProof/>
        </w:rPr>
      </w:pPr>
      <w:r w:rsidRPr="00A67022">
        <w:rPr>
          <w:noProof/>
        </w:rPr>
        <w:t>First name of the person applying on behalf of the organisation: ………………….</w:t>
      </w:r>
    </w:p>
    <w:p w14:paraId="485B6EA0" w14:textId="77777777" w:rsidR="00A67022" w:rsidRPr="00A67022" w:rsidRDefault="00A67022" w:rsidP="001B6CB1">
      <w:pPr>
        <w:spacing w:before="120" w:after="120"/>
        <w:rPr>
          <w:noProof/>
        </w:rPr>
      </w:pPr>
      <w:r w:rsidRPr="00A67022">
        <w:rPr>
          <w:noProof/>
        </w:rPr>
        <w:t>Date: ………………….</w:t>
      </w:r>
    </w:p>
    <w:p w14:paraId="485B6EA1" w14:textId="2927BA8F" w:rsidR="00334821" w:rsidRDefault="00A67022" w:rsidP="001B6CB1">
      <w:pPr>
        <w:spacing w:before="120" w:after="120"/>
        <w:rPr>
          <w:noProof/>
        </w:rPr>
      </w:pPr>
      <w:r w:rsidRPr="00A67022">
        <w:rPr>
          <w:noProof/>
        </w:rPr>
        <w:t>Signature …………………..</w:t>
      </w:r>
    </w:p>
    <w:p w14:paraId="64689406" w14:textId="0C998B39" w:rsidR="00F40E8A" w:rsidRDefault="00F40E8A">
      <w:pPr>
        <w:spacing w:after="0"/>
        <w:jc w:val="left"/>
        <w:rPr>
          <w:b/>
          <w:noProof/>
          <w:sz w:val="28"/>
        </w:rPr>
      </w:pPr>
    </w:p>
    <w:p w14:paraId="469DEBAD" w14:textId="18102450" w:rsidR="005F1D2D" w:rsidRDefault="005F1D2D">
      <w:pPr>
        <w:spacing w:after="0"/>
        <w:jc w:val="left"/>
        <w:rPr>
          <w:rFonts w:ascii="Calibri" w:eastAsia="Calibri" w:hAnsi="Calibri" w:cs="Calibri"/>
          <w:b/>
          <w:sz w:val="22"/>
          <w:szCs w:val="22"/>
          <w:u w:val="single"/>
        </w:rPr>
      </w:pPr>
    </w:p>
    <w:p w14:paraId="2E5976E2" w14:textId="77777777" w:rsidR="001E2CB6" w:rsidRDefault="001E2CB6">
      <w:r>
        <w:br w:type="page"/>
      </w: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5F1D2D" w:rsidRPr="004B23D6" w14:paraId="7B91FCCC" w14:textId="77777777" w:rsidTr="00A52346">
        <w:tc>
          <w:tcPr>
            <w:tcW w:w="2400" w:type="dxa"/>
            <w:shd w:val="clear" w:color="auto" w:fill="auto"/>
          </w:tcPr>
          <w:p w14:paraId="175644D5" w14:textId="3F229FCE" w:rsidR="00AB3BEF" w:rsidRPr="0099785B" w:rsidRDefault="00AB3BEF" w:rsidP="00A52346">
            <w:pPr>
              <w:pStyle w:val="ZFlag"/>
              <w:rPr>
                <w:rFonts w:ascii="Calibri" w:hAnsi="Calibri" w:cs="Calibri"/>
                <w:sz w:val="22"/>
                <w:szCs w:val="22"/>
                <w:lang w:val="en-IE"/>
              </w:rPr>
            </w:pPr>
          </w:p>
          <w:p w14:paraId="3C764B32" w14:textId="77777777" w:rsidR="00AB3BEF" w:rsidRPr="0099785B" w:rsidRDefault="00AB3BEF" w:rsidP="00AB3BEF">
            <w:pPr>
              <w:rPr>
                <w:lang w:val="en-IE" w:eastAsia="fr-BE"/>
              </w:rPr>
            </w:pPr>
          </w:p>
          <w:p w14:paraId="1A148078" w14:textId="4995EA9C" w:rsidR="005F1D2D" w:rsidRPr="00B12B67" w:rsidRDefault="005F1D2D" w:rsidP="00A52346">
            <w:pPr>
              <w:pStyle w:val="ZFlag"/>
              <w:rPr>
                <w:rFonts w:ascii="Calibri" w:hAnsi="Calibri" w:cs="Calibri"/>
                <w:sz w:val="22"/>
                <w:szCs w:val="22"/>
              </w:rPr>
            </w:pPr>
            <w:r>
              <w:rPr>
                <w:rFonts w:ascii="Calibri" w:hAnsi="Calibri" w:cs="Calibri"/>
                <w:noProof/>
                <w:sz w:val="22"/>
                <w:szCs w:val="22"/>
                <w:lang w:val="en-GB" w:eastAsia="en-GB"/>
              </w:rPr>
              <w:drawing>
                <wp:inline distT="0" distB="0" distL="0" distR="0" wp14:anchorId="33673978" wp14:editId="3A85B43D">
                  <wp:extent cx="1375410" cy="643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5410" cy="643890"/>
                          </a:xfrm>
                          <a:prstGeom prst="rect">
                            <a:avLst/>
                          </a:prstGeom>
                          <a:noFill/>
                          <a:ln>
                            <a:noFill/>
                          </a:ln>
                        </pic:spPr>
                      </pic:pic>
                    </a:graphicData>
                  </a:graphic>
                </wp:inline>
              </w:drawing>
            </w:r>
          </w:p>
        </w:tc>
        <w:tc>
          <w:tcPr>
            <w:tcW w:w="7080" w:type="dxa"/>
            <w:shd w:val="clear" w:color="auto" w:fill="auto"/>
          </w:tcPr>
          <w:p w14:paraId="1F914733" w14:textId="77777777" w:rsidR="005F1D2D" w:rsidRPr="00B12B67" w:rsidRDefault="005F1D2D" w:rsidP="00A52346">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23652D92" w14:textId="77777777" w:rsidR="005F1D2D" w:rsidRPr="00B12B67" w:rsidRDefault="005F1D2D" w:rsidP="00A52346">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01BADD9C" w14:textId="2279070C" w:rsidR="00834968" w:rsidRDefault="00834968" w:rsidP="005F1D2D">
      <w:pPr>
        <w:spacing w:after="480"/>
        <w:jc w:val="center"/>
        <w:rPr>
          <w:rFonts w:ascii="Calibri" w:eastAsia="Calibri" w:hAnsi="Calibri" w:cs="Calibri"/>
          <w:b/>
          <w:sz w:val="22"/>
          <w:szCs w:val="22"/>
          <w:u w:val="single"/>
        </w:rPr>
      </w:pPr>
      <w:r>
        <w:rPr>
          <w:rFonts w:ascii="Calibri" w:eastAsia="Calibri" w:hAnsi="Calibri" w:cs="Calibri"/>
          <w:b/>
          <w:sz w:val="22"/>
          <w:szCs w:val="22"/>
          <w:u w:val="single"/>
        </w:rPr>
        <w:t xml:space="preserve">Annex </w:t>
      </w:r>
      <w:r w:rsidR="00C2235E">
        <w:rPr>
          <w:rFonts w:ascii="Calibri" w:eastAsia="Calibri" w:hAnsi="Calibri" w:cs="Calibri"/>
          <w:b/>
          <w:sz w:val="22"/>
          <w:szCs w:val="22"/>
          <w:u w:val="single"/>
        </w:rPr>
        <w:t>III</w:t>
      </w:r>
    </w:p>
    <w:p w14:paraId="2A9C183E" w14:textId="0B958278" w:rsidR="005F1D2D" w:rsidRPr="00B12B67" w:rsidRDefault="005F1D2D" w:rsidP="005F1D2D">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5637A848"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11"/>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303FC685" w14:textId="77777777" w:rsidR="005F1D2D" w:rsidRDefault="005F1D2D" w:rsidP="005F1D2D">
      <w:pPr>
        <w:rPr>
          <w:rFonts w:ascii="Calibri" w:eastAsia="Calibri" w:hAnsi="Calibri" w:cs="Calibri"/>
          <w:b/>
          <w:i/>
          <w:sz w:val="22"/>
          <w:szCs w:val="22"/>
        </w:rPr>
      </w:pPr>
      <w:r w:rsidRPr="00B12B67">
        <w:rPr>
          <w:rFonts w:ascii="Calibri" w:eastAsia="Calibri" w:hAnsi="Calibri" w:cs="Calibri"/>
          <w:b/>
          <w:sz w:val="22"/>
          <w:szCs w:val="22"/>
        </w:rPr>
        <w:t>Data Controller:</w:t>
      </w:r>
    </w:p>
    <w:p w14:paraId="19AFB988" w14:textId="41A19AD0" w:rsidR="005F1D2D" w:rsidRDefault="005F1D2D" w:rsidP="005F1D2D">
      <w:pPr>
        <w:numPr>
          <w:ilvl w:val="0"/>
          <w:numId w:val="46"/>
        </w:numPr>
        <w:rPr>
          <w:rFonts w:ascii="Calibri" w:eastAsia="Calibri" w:hAnsi="Calibri" w:cs="Calibri"/>
          <w:i/>
          <w:sz w:val="22"/>
          <w:szCs w:val="22"/>
        </w:rPr>
      </w:pPr>
      <w:r w:rsidRPr="00B12B67">
        <w:rPr>
          <w:rFonts w:ascii="Calibri" w:eastAsia="Calibri" w:hAnsi="Calibri" w:cs="Calibri"/>
          <w:i/>
          <w:sz w:val="22"/>
          <w:szCs w:val="22"/>
        </w:rPr>
        <w:t xml:space="preserve">Secretariat-General, Unit </w:t>
      </w:r>
      <w:r w:rsidR="00D73C7C">
        <w:rPr>
          <w:rFonts w:ascii="Calibri" w:eastAsia="Calibri" w:hAnsi="Calibri" w:cs="Calibri"/>
          <w:i/>
          <w:sz w:val="22"/>
          <w:szCs w:val="22"/>
        </w:rPr>
        <w:t>F</w:t>
      </w:r>
      <w:r w:rsidRPr="00B12B67">
        <w:rPr>
          <w:rFonts w:ascii="Calibri" w:eastAsia="Calibri" w:hAnsi="Calibri" w:cs="Calibri"/>
          <w:i/>
          <w:sz w:val="22"/>
          <w:szCs w:val="22"/>
        </w:rPr>
        <w:t>4</w:t>
      </w:r>
      <w:r>
        <w:rPr>
          <w:rFonts w:ascii="Calibri" w:eastAsia="Calibri" w:hAnsi="Calibri" w:cs="Calibri"/>
          <w:i/>
          <w:sz w:val="22"/>
          <w:szCs w:val="22"/>
        </w:rPr>
        <w:t xml:space="preserve">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4C7EB75C" w14:textId="391EFE39" w:rsidR="005F1D2D" w:rsidRPr="001E2CB6" w:rsidRDefault="00806CE9" w:rsidP="00C70522">
      <w:pPr>
        <w:rPr>
          <w:rFonts w:ascii="Calibri" w:eastAsia="Calibri" w:hAnsi="Calibri" w:cs="Calibri"/>
          <w:b/>
          <w:i/>
          <w:color w:val="FF0000"/>
          <w:sz w:val="22"/>
          <w:szCs w:val="22"/>
        </w:rPr>
      </w:pPr>
      <w:r w:rsidRPr="00806CE9">
        <w:rPr>
          <w:rFonts w:ascii="Calibri" w:eastAsia="Calibri" w:hAnsi="Calibri" w:cs="Calibri"/>
          <w:iCs/>
          <w:sz w:val="22"/>
          <w:szCs w:val="22"/>
        </w:rPr>
        <w:t xml:space="preserve">Directorate-General for Mobility and Transport, Directorate C – Land Transport, Unit C.2 – Road Safety </w:t>
      </w:r>
      <w:r w:rsidRPr="00806CE9">
        <w:rPr>
          <w:rFonts w:ascii="Calibri" w:eastAsia="Calibri" w:hAnsi="Calibri" w:cs="Calibri"/>
          <w:i/>
          <w:sz w:val="22"/>
          <w:szCs w:val="22"/>
        </w:rPr>
        <w:t>(</w:t>
      </w:r>
      <w:r w:rsidR="005F1D2D">
        <w:rPr>
          <w:rFonts w:ascii="Calibri" w:eastAsia="Calibri" w:hAnsi="Calibri" w:cs="Calibri"/>
          <w:i/>
          <w:sz w:val="22"/>
          <w:szCs w:val="22"/>
        </w:rPr>
        <w:t xml:space="preserve">for the processing operation </w:t>
      </w:r>
      <w:r w:rsidR="005F1D2D" w:rsidRPr="00B12B67">
        <w:rPr>
          <w:rFonts w:ascii="Calibri" w:eastAsia="Calibri" w:hAnsi="Calibri" w:cs="Calibri"/>
          <w:sz w:val="22"/>
          <w:szCs w:val="22"/>
        </w:rPr>
        <w:t>“</w:t>
      </w:r>
      <w:r w:rsidR="005F1D2D">
        <w:rPr>
          <w:rFonts w:ascii="Calibri" w:eastAsia="Calibri" w:hAnsi="Calibri" w:cs="Calibri"/>
          <w:sz w:val="22"/>
          <w:szCs w:val="22"/>
        </w:rPr>
        <w:t>S</w:t>
      </w:r>
      <w:r w:rsidR="005F1D2D" w:rsidRPr="008F0826">
        <w:rPr>
          <w:rFonts w:ascii="Calibri" w:eastAsia="Calibri" w:hAnsi="Calibri" w:cs="Calibri"/>
          <w:sz w:val="22"/>
          <w:szCs w:val="22"/>
        </w:rPr>
        <w:t xml:space="preserve">election of members of </w:t>
      </w:r>
      <w:r w:rsidR="005F1D2D">
        <w:rPr>
          <w:rFonts w:ascii="Calibri" w:eastAsia="Calibri" w:hAnsi="Calibri" w:cs="Calibri"/>
          <w:sz w:val="22"/>
          <w:szCs w:val="22"/>
        </w:rPr>
        <w:t>Commission</w:t>
      </w:r>
      <w:r w:rsidR="005F1D2D" w:rsidRPr="008F0826">
        <w:rPr>
          <w:rFonts w:ascii="Calibri" w:eastAsia="Calibri" w:hAnsi="Calibri" w:cs="Calibri"/>
          <w:sz w:val="22"/>
          <w:szCs w:val="22"/>
        </w:rPr>
        <w:t xml:space="preserve"> expert groups</w:t>
      </w:r>
      <w:r w:rsidR="005F1D2D">
        <w:rPr>
          <w:rFonts w:ascii="Calibri" w:eastAsia="Calibri" w:hAnsi="Calibri" w:cs="Calibri"/>
          <w:sz w:val="22"/>
          <w:szCs w:val="22"/>
        </w:rPr>
        <w:t xml:space="preserve"> </w:t>
      </w:r>
      <w:r w:rsidR="005F1D2D" w:rsidRPr="00A172C8">
        <w:rPr>
          <w:rFonts w:ascii="Calibri" w:eastAsia="Calibri" w:hAnsi="Calibri" w:cs="Calibri"/>
          <w:i/>
          <w:sz w:val="22"/>
          <w:szCs w:val="22"/>
        </w:rPr>
        <w:t>and other similar entities</w:t>
      </w:r>
      <w:r w:rsidR="005F1D2D" w:rsidRPr="00B12B67">
        <w:rPr>
          <w:rFonts w:ascii="Calibri" w:eastAsia="Calibri" w:hAnsi="Calibri" w:cs="Calibri"/>
          <w:sz w:val="22"/>
          <w:szCs w:val="22"/>
        </w:rPr>
        <w:t>”</w:t>
      </w:r>
      <w:r w:rsidR="005F1D2D">
        <w:rPr>
          <w:rStyle w:val="FootnoteReference"/>
          <w:rFonts w:ascii="Calibri" w:eastAsia="Calibri" w:hAnsi="Calibri" w:cs="Calibri"/>
          <w:sz w:val="22"/>
          <w:szCs w:val="22"/>
        </w:rPr>
        <w:footnoteReference w:id="12"/>
      </w:r>
      <w:r w:rsidR="005F1D2D">
        <w:rPr>
          <w:rFonts w:ascii="Calibri" w:eastAsia="Calibri" w:hAnsi="Calibri" w:cs="Calibri"/>
          <w:sz w:val="22"/>
          <w:szCs w:val="22"/>
        </w:rPr>
        <w:t xml:space="preserve">, </w:t>
      </w:r>
      <w:r w:rsidR="005F1D2D" w:rsidRPr="008C0C2E">
        <w:rPr>
          <w:rFonts w:ascii="Calibri" w:eastAsia="Calibri" w:hAnsi="Calibri" w:cs="Calibri"/>
          <w:sz w:val="22"/>
          <w:szCs w:val="22"/>
        </w:rPr>
        <w:t>DPR-EC-01066</w:t>
      </w:r>
      <w:r w:rsidR="005F1D2D">
        <w:rPr>
          <w:rFonts w:ascii="Calibri" w:eastAsia="Calibri" w:hAnsi="Calibri" w:cs="Calibri"/>
          <w:i/>
          <w:sz w:val="22"/>
          <w:szCs w:val="22"/>
        </w:rPr>
        <w:t>).</w:t>
      </w:r>
    </w:p>
    <w:p w14:paraId="344D2382" w14:textId="77777777" w:rsidR="005F1D2D" w:rsidRPr="00B12B67" w:rsidRDefault="005F1D2D" w:rsidP="005F1D2D">
      <w:pPr>
        <w:rPr>
          <w:rFonts w:ascii="Calibri" w:eastAsia="Calibri" w:hAnsi="Calibri" w:cs="Calibri"/>
          <w:b/>
          <w:sz w:val="22"/>
          <w:szCs w:val="22"/>
        </w:rPr>
      </w:pPr>
      <w:r w:rsidRPr="00B12B67">
        <w:rPr>
          <w:rFonts w:ascii="Calibri" w:eastAsia="Calibri" w:hAnsi="Calibri" w:cs="Calibri"/>
          <w:b/>
          <w:sz w:val="22"/>
          <w:szCs w:val="22"/>
        </w:rPr>
        <w:t>Table of Contents</w:t>
      </w:r>
    </w:p>
    <w:p w14:paraId="0E57F8F6"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5FF6BAD3"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176A191B"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C51DC3A"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4B7A787C"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46CF79A" w14:textId="77777777" w:rsidR="005F1D2D" w:rsidRPr="00B12B67" w:rsidRDefault="005F1D2D" w:rsidP="005F1D2D">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53639E85" w14:textId="77777777" w:rsidR="005F1D2D" w:rsidRPr="00B12B67" w:rsidRDefault="005F1D2D" w:rsidP="005F1D2D">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2FC52A69"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39F8CCAC"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1726B83F" w14:textId="6A7356C5" w:rsidR="005F1D2D" w:rsidRPr="0058582B" w:rsidRDefault="005F1D2D" w:rsidP="00983088">
      <w:pPr>
        <w:numPr>
          <w:ilvl w:val="0"/>
          <w:numId w:val="42"/>
        </w:numPr>
        <w:spacing w:after="0"/>
        <w:ind w:left="357" w:hanging="357"/>
        <w:jc w:val="left"/>
        <w:rPr>
          <w:rFonts w:ascii="Calibri" w:eastAsia="Calibri" w:hAnsi="Calibri" w:cs="Calibri"/>
          <w:b/>
          <w:sz w:val="22"/>
          <w:szCs w:val="22"/>
          <w:u w:val="single"/>
        </w:rPr>
      </w:pPr>
      <w:r w:rsidRPr="0058582B">
        <w:rPr>
          <w:rFonts w:ascii="Calibri" w:eastAsia="Calibri" w:hAnsi="Calibri" w:cs="Calibri"/>
          <w:b/>
          <w:bCs/>
          <w:sz w:val="22"/>
          <w:szCs w:val="22"/>
        </w:rPr>
        <w:t>Where to find more detailed information?</w:t>
      </w:r>
      <w:r w:rsidRPr="0058582B">
        <w:rPr>
          <w:rFonts w:ascii="Calibri" w:eastAsia="Calibri" w:hAnsi="Calibri" w:cs="Calibri"/>
          <w:b/>
          <w:sz w:val="22"/>
          <w:szCs w:val="22"/>
          <w:u w:val="single"/>
        </w:rPr>
        <w:br w:type="page"/>
      </w:r>
    </w:p>
    <w:p w14:paraId="437704E8"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4803FEB7"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20"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5C4F826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714B8887" w14:textId="77777777"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79C1A9B0" w14:textId="3BD179C3"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 xml:space="preserve">expert </w:t>
      </w:r>
      <w:r w:rsidR="0087370D">
        <w:rPr>
          <w:rFonts w:ascii="Calibri" w:eastAsia="Calibri" w:hAnsi="Calibri" w:cs="Calibri"/>
          <w:sz w:val="22"/>
          <w:szCs w:val="22"/>
        </w:rPr>
        <w:t>sub-</w:t>
      </w:r>
      <w:r>
        <w:rPr>
          <w:rFonts w:ascii="Calibri" w:eastAsia="Calibri" w:hAnsi="Calibri" w:cs="Calibri"/>
          <w:sz w:val="22"/>
          <w:szCs w:val="22"/>
        </w:rPr>
        <w:t>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Pr>
          <w:rFonts w:ascii="Calibri" w:eastAsia="Calibri" w:hAnsi="Calibri" w:cs="Calibri"/>
          <w:sz w:val="22"/>
          <w:szCs w:val="22"/>
        </w:rPr>
        <w:t xml:space="preserve"> </w:t>
      </w:r>
      <w:r w:rsidR="005573EE">
        <w:rPr>
          <w:rFonts w:ascii="Calibri" w:eastAsia="Calibri" w:hAnsi="Calibri" w:cs="Calibri"/>
          <w:sz w:val="22"/>
          <w:szCs w:val="22"/>
        </w:rPr>
        <w:t>(</w:t>
      </w:r>
      <w:r w:rsidR="005573EE" w:rsidRPr="00806CE9">
        <w:rPr>
          <w:rFonts w:ascii="Calibri" w:eastAsia="Calibri" w:hAnsi="Calibri" w:cs="Calibri"/>
          <w:iCs/>
          <w:sz w:val="22"/>
          <w:szCs w:val="22"/>
        </w:rPr>
        <w:t>Directorate-General for Mobility and Transport, Directorate C – Land Transport, Unit C.2 – Road Safety</w:t>
      </w:r>
      <w:r w:rsidR="005573EE">
        <w:rPr>
          <w:rFonts w:ascii="Calibri" w:eastAsia="Calibri" w:hAnsi="Calibri" w:cs="Calibri"/>
          <w:iCs/>
          <w:sz w:val="22"/>
          <w:szCs w:val="22"/>
        </w:rPr>
        <w:t>)</w:t>
      </w:r>
      <w:r w:rsidR="005573EE" w:rsidRPr="00806CE9">
        <w:rPr>
          <w:rFonts w:ascii="Calibri" w:eastAsia="Calibri" w:hAnsi="Calibri" w:cs="Calibri"/>
          <w:iCs/>
          <w:sz w:val="22"/>
          <w:szCs w:val="22"/>
        </w:rPr>
        <w:t xml:space="preserve"> </w:t>
      </w:r>
      <w:r w:rsidRPr="00B12B67">
        <w:rPr>
          <w:rFonts w:ascii="Calibri" w:eastAsia="Calibri" w:hAnsi="Calibri" w:cs="Calibri"/>
          <w:sz w:val="22"/>
          <w:szCs w:val="22"/>
        </w:rPr>
        <w:t xml:space="preserve">and </w:t>
      </w:r>
    </w:p>
    <w:p w14:paraId="1597AE84" w14:textId="5D2A46AA" w:rsidR="005F1D2D" w:rsidRPr="00894F2C" w:rsidRDefault="005F1D2D" w:rsidP="005F1D2D">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Secretariat-General, Unit </w:t>
      </w:r>
      <w:r>
        <w:rPr>
          <w:rFonts w:ascii="Calibri" w:eastAsia="Calibri" w:hAnsi="Calibri" w:cs="Calibri"/>
          <w:sz w:val="22"/>
          <w:szCs w:val="22"/>
        </w:rPr>
        <w:t>F</w:t>
      </w:r>
      <w:r w:rsidRPr="00B12B67">
        <w:rPr>
          <w:rFonts w:ascii="Calibri" w:eastAsia="Calibri" w:hAnsi="Calibri" w:cs="Calibri"/>
          <w:sz w:val="22"/>
          <w:szCs w:val="22"/>
        </w:rPr>
        <w:t>.4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 xml:space="preserve">expert </w:t>
      </w:r>
      <w:r w:rsidR="0087370D" w:rsidRPr="0087370D">
        <w:rPr>
          <w:rFonts w:ascii="Calibri" w:eastAsia="Calibri" w:hAnsi="Calibri" w:cs="Calibri"/>
          <w:sz w:val="22"/>
          <w:szCs w:val="22"/>
        </w:rPr>
        <w:t>sub-group</w:t>
      </w:r>
      <w:r w:rsidRPr="00B12B67">
        <w:rPr>
          <w:rFonts w:ascii="Calibri" w:eastAsia="Calibri" w:hAnsi="Calibri" w:cs="Calibri"/>
          <w:sz w:val="22"/>
          <w:szCs w:val="22"/>
        </w:rPr>
        <w:t xml:space="preserve">. </w:t>
      </w:r>
    </w:p>
    <w:p w14:paraId="770EAEE1" w14:textId="361F59CA"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r w:rsidR="00AB3500">
        <w:rPr>
          <w:rFonts w:ascii="Calibri" w:eastAsia="Calibri" w:hAnsi="Calibri" w:cs="Calibri"/>
          <w:sz w:val="22"/>
          <w:szCs w:val="22"/>
        </w:rPr>
        <w:t>In exceptional cases, the College of Commissioners may appoint directly members of expert groups.</w:t>
      </w:r>
    </w:p>
    <w:p w14:paraId="0957DF09" w14:textId="7FCFFAE3" w:rsidR="005F1D2D" w:rsidRPr="00F45573" w:rsidRDefault="005F1D2D" w:rsidP="005F1D2D">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w:t>
      </w:r>
      <w:r w:rsidR="00AB3500">
        <w:rPr>
          <w:rFonts w:ascii="Calibri" w:eastAsia="Calibri" w:hAnsi="Calibri" w:cs="Calibri"/>
          <w:sz w:val="22"/>
          <w:szCs w:val="22"/>
        </w:rPr>
        <w:t>T</w:t>
      </w:r>
      <w:r w:rsidRPr="00B12B67">
        <w:rPr>
          <w:rFonts w:ascii="Calibri" w:eastAsia="Calibri" w:hAnsi="Calibri" w:cs="Calibri"/>
          <w:sz w:val="22"/>
          <w:szCs w:val="22"/>
        </w:rPr>
        <w:t xml:space="preserve">he Register provides information </w:t>
      </w:r>
      <w:r w:rsidR="00AB3500">
        <w:rPr>
          <w:rFonts w:ascii="Calibri" w:eastAsia="Calibri" w:hAnsi="Calibri" w:cs="Calibri"/>
          <w:sz w:val="22"/>
          <w:szCs w:val="22"/>
        </w:rPr>
        <w:t xml:space="preserve">for each expert group, </w:t>
      </w:r>
      <w:r w:rsidRPr="00B12B67">
        <w:rPr>
          <w:rFonts w:ascii="Calibri" w:eastAsia="Calibri" w:hAnsi="Calibri" w:cs="Calibri"/>
          <w:sz w:val="22"/>
          <w:szCs w:val="22"/>
        </w:rPr>
        <w:t xml:space="preserve">including personal data on the members of the expert groups, their alternate, </w:t>
      </w:r>
      <w:r w:rsidR="00AB3500">
        <w:rPr>
          <w:rFonts w:ascii="Calibri" w:eastAsia="Calibri" w:hAnsi="Calibri" w:cs="Calibri"/>
          <w:sz w:val="22"/>
          <w:szCs w:val="22"/>
        </w:rPr>
        <w:t xml:space="preserve">and of the observers, and information may be provided about </w:t>
      </w:r>
      <w:r>
        <w:rPr>
          <w:rFonts w:ascii="Calibri" w:eastAsia="Calibri" w:hAnsi="Calibri" w:cs="Calibri"/>
          <w:sz w:val="22"/>
          <w:szCs w:val="22"/>
        </w:rPr>
        <w:t>members’</w:t>
      </w:r>
      <w:r w:rsidR="00AB3500">
        <w:rPr>
          <w:rFonts w:ascii="Calibri" w:eastAsia="Calibri" w:hAnsi="Calibri" w:cs="Calibri"/>
          <w:sz w:val="22"/>
          <w:szCs w:val="22"/>
        </w:rPr>
        <w:t xml:space="preserve"> and observers’</w:t>
      </w:r>
      <w:r>
        <w:rPr>
          <w:rFonts w:ascii="Calibri" w:eastAsia="Calibri" w:hAnsi="Calibri" w:cs="Calibri"/>
          <w:sz w:val="22"/>
          <w:szCs w:val="22"/>
        </w:rPr>
        <w:t xml:space="preserve">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0B1401F6" w14:textId="77777777" w:rsidR="005F1D2D" w:rsidRPr="00B12B67" w:rsidRDefault="005F1D2D" w:rsidP="005F1D2D">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13"/>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199BFBDB" w14:textId="77777777" w:rsidR="005F1D2D" w:rsidRPr="00B12B67" w:rsidRDefault="005F1D2D" w:rsidP="005F1D2D">
      <w:pPr>
        <w:keepNext/>
        <w:numPr>
          <w:ilvl w:val="0"/>
          <w:numId w:val="43"/>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1019D0F6"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49721D05" w14:textId="10B43D20" w:rsidR="005F1D2D" w:rsidRDefault="005F1D2D" w:rsidP="005F1D2D">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w:t>
      </w:r>
      <w:r w:rsidRPr="00B12B67">
        <w:rPr>
          <w:rFonts w:ascii="Calibri" w:hAnsi="Calibri" w:cs="Calibri"/>
          <w:sz w:val="22"/>
          <w:szCs w:val="22"/>
          <w:lang w:eastAsia="en-GB"/>
        </w:rPr>
        <w:lastRenderedPageBreak/>
        <w:t xml:space="preserve">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to be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w:t>
      </w:r>
      <w:r w:rsidRPr="00B12B67">
        <w:rPr>
          <w:rFonts w:ascii="Calibri" w:hAnsi="Calibri" w:cs="Calibri"/>
          <w:sz w:val="22"/>
          <w:szCs w:val="22"/>
          <w:lang w:eastAsia="en-GB"/>
        </w:rPr>
        <w:t xml:space="preserve">. </w:t>
      </w:r>
    </w:p>
    <w:p w14:paraId="39D036BD" w14:textId="77777777" w:rsidR="005F1D2D" w:rsidRPr="00B12B67" w:rsidRDefault="005F1D2D" w:rsidP="005F1D2D">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appointed directly and not selected through a public call for applications.</w:t>
      </w:r>
    </w:p>
    <w:p w14:paraId="03D0B60C" w14:textId="77777777" w:rsidR="005F1D2D" w:rsidRPr="00B12B67" w:rsidRDefault="005F1D2D" w:rsidP="005F1D2D">
      <w:pPr>
        <w:rPr>
          <w:rFonts w:ascii="Calibri" w:hAnsi="Calibri" w:cs="Calibri"/>
          <w:sz w:val="22"/>
          <w:szCs w:val="22"/>
          <w:lang w:eastAsia="en-GB"/>
        </w:rPr>
      </w:pPr>
      <w:r w:rsidRPr="00B12B67">
        <w:rPr>
          <w:rFonts w:ascii="Calibri" w:hAnsi="Calibri" w:cs="Calibri"/>
          <w:sz w:val="22"/>
          <w:szCs w:val="22"/>
          <w:lang w:eastAsia="en-GB"/>
        </w:rPr>
        <w:t xml:space="preserve">For candidates, personal data </w:t>
      </w:r>
      <w:r>
        <w:rPr>
          <w:rFonts w:ascii="Calibri" w:hAnsi="Calibri" w:cs="Calibri"/>
          <w:sz w:val="22"/>
          <w:szCs w:val="22"/>
          <w:lang w:eastAsia="en-GB"/>
        </w:rPr>
        <w:t>are</w:t>
      </w:r>
      <w:r w:rsidRPr="00B12B67">
        <w:rPr>
          <w:rFonts w:ascii="Calibri" w:hAnsi="Calibri" w:cs="Calibri"/>
          <w:sz w:val="22"/>
          <w:szCs w:val="22"/>
          <w:lang w:eastAsia="en-GB"/>
        </w:rPr>
        <w:t xml:space="preserve">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78E4A57A" w14:textId="77777777" w:rsidR="005F1D2D" w:rsidRPr="00B12B67" w:rsidRDefault="005F1D2D" w:rsidP="005F1D2D">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76AD1F38"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6A93A8BE"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3DBD758A" w14:textId="77777777" w:rsidR="005F1D2D" w:rsidRPr="00B12B67" w:rsidRDefault="005F1D2D" w:rsidP="005F1D2D">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2852F3EB" w14:textId="58FDD105" w:rsidR="005F1D2D" w:rsidRDefault="005F1D2D" w:rsidP="005F1D2D">
      <w:pPr>
        <w:rPr>
          <w:rFonts w:ascii="Calibri" w:eastAsia="Calibri" w:hAnsi="Calibri" w:cs="Calibri"/>
          <w:sz w:val="22"/>
          <w:szCs w:val="22"/>
        </w:rPr>
      </w:pPr>
      <w:r>
        <w:rPr>
          <w:rFonts w:ascii="Calibri" w:eastAsia="Calibri" w:hAnsi="Calibri" w:cs="Calibri"/>
          <w:sz w:val="22"/>
          <w:szCs w:val="22"/>
        </w:rPr>
        <w:t xml:space="preserve">The names of the representatives of organisations, Member States’ authorities and other public entities </w:t>
      </w:r>
      <w:r w:rsidR="00275A25">
        <w:rPr>
          <w:rFonts w:ascii="Calibri" w:eastAsia="Calibri" w:hAnsi="Calibri" w:cs="Calibri"/>
          <w:sz w:val="22"/>
          <w:szCs w:val="22"/>
        </w:rPr>
        <w:t>are</w:t>
      </w:r>
      <w:r>
        <w:rPr>
          <w:rFonts w:ascii="Calibri" w:eastAsia="Calibri" w:hAnsi="Calibri" w:cs="Calibri"/>
          <w:sz w:val="22"/>
          <w:szCs w:val="22"/>
        </w:rPr>
        <w:t xml:space="preserve">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r>
        <w:rPr>
          <w:rFonts w:ascii="Calibri" w:eastAsia="Calibri" w:hAnsi="Calibri" w:cs="Calibri"/>
          <w:sz w:val="22"/>
          <w:szCs w:val="22"/>
        </w:rPr>
        <w:t xml:space="preserve">, unless specific and exceptional circumstances make it necessary to publish them to achieve the purpose of the processing operation, </w:t>
      </w:r>
      <w:r w:rsidRPr="00FE1633">
        <w:rPr>
          <w:rFonts w:ascii="Calibri" w:eastAsia="Calibri" w:hAnsi="Calibri" w:cs="Calibri"/>
          <w:sz w:val="22"/>
          <w:szCs w:val="22"/>
        </w:rPr>
        <w:t>in accordance with Article 5(1)(a) of Regulation (EU) 2018/1725</w:t>
      </w:r>
      <w:r w:rsidRPr="00B12B67">
        <w:rPr>
          <w:rFonts w:ascii="Calibri" w:eastAsia="Calibri" w:hAnsi="Calibri" w:cs="Calibri"/>
          <w:sz w:val="22"/>
          <w:szCs w:val="22"/>
        </w:rPr>
        <w:t>.</w:t>
      </w:r>
      <w:r>
        <w:rPr>
          <w:rFonts w:ascii="Calibri" w:eastAsia="Calibri" w:hAnsi="Calibri" w:cs="Calibri"/>
          <w:sz w:val="22"/>
          <w:szCs w:val="22"/>
        </w:rPr>
        <w:t xml:space="preserve"> No other types of personal data of representatives is published.</w:t>
      </w:r>
    </w:p>
    <w:p w14:paraId="11644E79" w14:textId="77777777" w:rsidR="005F1D2D" w:rsidRDefault="005F1D2D" w:rsidP="005F1D2D">
      <w:pPr>
        <w:rPr>
          <w:rFonts w:ascii="Calibri" w:eastAsia="Calibri" w:hAnsi="Calibri" w:cs="Calibri"/>
          <w:sz w:val="22"/>
          <w:szCs w:val="22"/>
        </w:rPr>
      </w:pPr>
      <w:r>
        <w:rPr>
          <w:rFonts w:ascii="Calibri" w:eastAsia="Calibri" w:hAnsi="Calibri" w:cs="Calibri"/>
          <w:sz w:val="22"/>
          <w:szCs w:val="22"/>
        </w:rPr>
        <w:lastRenderedPageBreak/>
        <w:t xml:space="preserve">The submissions of members in the context of the work of expert groups and subgroups are generally made public, with personal data withheld where appropriate. </w:t>
      </w:r>
    </w:p>
    <w:p w14:paraId="5023321A" w14:textId="77777777" w:rsidR="005F1D2D" w:rsidRPr="00B12B67" w:rsidRDefault="005F1D2D" w:rsidP="005F1D2D">
      <w:pPr>
        <w:rPr>
          <w:rFonts w:ascii="Calibri" w:eastAsia="Calibri" w:hAnsi="Calibri" w:cs="Calibri"/>
          <w:sz w:val="22"/>
          <w:szCs w:val="22"/>
        </w:rPr>
      </w:pPr>
      <w:r>
        <w:rPr>
          <w:rFonts w:ascii="Calibri" w:eastAsia="Calibri" w:hAnsi="Calibri" w:cs="Calibri"/>
          <w:sz w:val="22"/>
          <w:szCs w:val="22"/>
        </w:rPr>
        <w:t>In the cases when the group is chaired by a person different than the Commission or its services, the name of this person may be published on the basis of consent (Article 5(1)(d) of Regulation (EU) No 2018/1725</w:t>
      </w:r>
      <w:r w:rsidRPr="004556F6">
        <w:rPr>
          <w:rFonts w:ascii="Calibri" w:eastAsia="Calibri" w:hAnsi="Calibri" w:cs="Calibri"/>
          <w:sz w:val="22"/>
          <w:szCs w:val="22"/>
        </w:rPr>
        <w:t xml:space="preserve">). </w:t>
      </w:r>
    </w:p>
    <w:p w14:paraId="7145E77C" w14:textId="77777777" w:rsidR="005F1D2D" w:rsidRPr="00B12B67" w:rsidRDefault="005F1D2D" w:rsidP="005F1D2D">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21CE6A4C" w14:textId="77777777" w:rsidR="005F1D2D" w:rsidRPr="00B12B67" w:rsidRDefault="005F1D2D" w:rsidP="005F1D2D">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06D0AEF8" w14:textId="77777777" w:rsidR="005F1D2D" w:rsidRPr="00B12B67" w:rsidRDefault="005F1D2D" w:rsidP="005F1D2D">
      <w:pPr>
        <w:numPr>
          <w:ilvl w:val="0"/>
          <w:numId w:val="41"/>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0ED50CE7" w14:textId="77777777" w:rsidR="005F1D2D" w:rsidRPr="00B12B67" w:rsidRDefault="005F1D2D" w:rsidP="005F1D2D">
      <w:pPr>
        <w:numPr>
          <w:ilvl w:val="0"/>
          <w:numId w:val="41"/>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1E5CC539"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6806E43C"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6B6ECB67"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147E270E"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46AD08A5"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7731837F" w14:textId="77777777" w:rsidR="005F1D2D"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418E8C02"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Pr>
          <w:rFonts w:ascii="Calibri" w:eastAsia="Calibri" w:hAnsi="Calibri" w:cs="Calibri"/>
          <w:i/>
          <w:sz w:val="22"/>
          <w:szCs w:val="22"/>
        </w:rPr>
        <w:t>Personal data that may be included in submissions of members of expert groups.</w:t>
      </w:r>
    </w:p>
    <w:p w14:paraId="149DFFB9" w14:textId="77777777" w:rsidR="005F1D2D" w:rsidRDefault="005F1D2D" w:rsidP="005F1D2D">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for individuals appointed as members or observers in personal capacity to act independently and in the public interest and for individuals appointed as members or observers to represents a common interest,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r>
        <w:rPr>
          <w:rFonts w:ascii="Calibri" w:eastAsia="Cambria" w:hAnsi="Calibri" w:cs="Calibri"/>
          <w:sz w:val="22"/>
          <w:szCs w:val="22"/>
        </w:rPr>
        <w:t xml:space="preserve"> </w:t>
      </w:r>
    </w:p>
    <w:p w14:paraId="0C680B44" w14:textId="77777777" w:rsidR="005F1D2D" w:rsidRDefault="005F1D2D" w:rsidP="005F1D2D">
      <w:pPr>
        <w:spacing w:after="0"/>
        <w:rPr>
          <w:rFonts w:ascii="Calibri" w:eastAsia="Cambria" w:hAnsi="Calibri" w:cs="Calibri"/>
          <w:sz w:val="22"/>
          <w:szCs w:val="22"/>
        </w:rPr>
      </w:pPr>
    </w:p>
    <w:p w14:paraId="0E84E5E1" w14:textId="77777777" w:rsidR="005F1D2D" w:rsidRDefault="005F1D2D" w:rsidP="005F1D2D">
      <w:pPr>
        <w:spacing w:after="0"/>
        <w:rPr>
          <w:rFonts w:ascii="Calibri" w:eastAsia="Cambria" w:hAnsi="Calibri" w:cs="Calibri"/>
          <w:sz w:val="22"/>
          <w:szCs w:val="22"/>
        </w:rPr>
      </w:pPr>
      <w:r w:rsidRPr="00157B16">
        <w:rPr>
          <w:rFonts w:ascii="Calibri" w:eastAsia="Cambria" w:hAnsi="Calibri" w:cs="Calibri"/>
          <w:sz w:val="22"/>
          <w:szCs w:val="22"/>
        </w:rPr>
        <w:t>The submissions of members in the context of the work of expert groups and subgroups are generally made public, with personal data withheld where appropriate.</w:t>
      </w:r>
      <w:r>
        <w:rPr>
          <w:rFonts w:ascii="Calibri" w:eastAsia="Cambria" w:hAnsi="Calibri" w:cs="Calibri"/>
          <w:sz w:val="22"/>
          <w:szCs w:val="22"/>
        </w:rPr>
        <w:t xml:space="preserve"> </w:t>
      </w:r>
    </w:p>
    <w:p w14:paraId="1B73A8BB" w14:textId="77777777" w:rsidR="005F1D2D" w:rsidRDefault="005F1D2D" w:rsidP="005F1D2D">
      <w:pPr>
        <w:spacing w:after="0"/>
        <w:rPr>
          <w:rFonts w:ascii="Calibri" w:eastAsia="Cambria" w:hAnsi="Calibri" w:cs="Calibri"/>
          <w:sz w:val="22"/>
          <w:szCs w:val="22"/>
        </w:rPr>
      </w:pPr>
    </w:p>
    <w:p w14:paraId="3F1CC60E" w14:textId="77777777" w:rsidR="005F1D2D" w:rsidRDefault="005F1D2D" w:rsidP="005F1D2D">
      <w:pPr>
        <w:spacing w:after="0"/>
        <w:rPr>
          <w:rFonts w:ascii="Calibri" w:eastAsia="Cambria" w:hAnsi="Calibri" w:cs="Calibr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r w:rsidRPr="00FE1633">
        <w:rPr>
          <w:rFonts w:ascii="Calibri" w:eastAsia="Cambria" w:hAnsi="Calibri" w:cs="Calibri"/>
          <w:sz w:val="22"/>
          <w:szCs w:val="22"/>
        </w:rPr>
        <w:t xml:space="preserve">They may furthermore be published </w:t>
      </w:r>
      <w:r>
        <w:rPr>
          <w:rFonts w:ascii="Calibri" w:eastAsia="Cambria" w:hAnsi="Calibri" w:cs="Calibri"/>
          <w:sz w:val="22"/>
          <w:szCs w:val="22"/>
        </w:rPr>
        <w:t>in specific and exceptional circumstances where such publication is necessary  to achieve the purpose of the processing operation.</w:t>
      </w:r>
    </w:p>
    <w:p w14:paraId="4DE6E2CC" w14:textId="77777777" w:rsidR="005F1D2D" w:rsidRPr="00B12B67" w:rsidRDefault="005F1D2D" w:rsidP="005F1D2D">
      <w:pPr>
        <w:spacing w:after="0"/>
        <w:rPr>
          <w:rFonts w:ascii="Calibri" w:eastAsia="Cambria" w:hAnsi="Calibri" w:cs="Calibri"/>
          <w:i/>
          <w:sz w:val="22"/>
          <w:szCs w:val="22"/>
        </w:rPr>
      </w:pPr>
      <w:r>
        <w:rPr>
          <w:rFonts w:ascii="Calibri" w:eastAsia="Cambria" w:hAnsi="Calibri" w:cs="Calibri"/>
          <w:sz w:val="22"/>
          <w:szCs w:val="22"/>
        </w:rPr>
        <w:lastRenderedPageBreak/>
        <w:t xml:space="preserve">The name of a person chairing the group, when this person is not from within the Commission (i.e. the group elects a chair from among its members or the Commission or its services appoint an individual as chair), may be published with his/ her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consent.</w:t>
      </w:r>
    </w:p>
    <w:p w14:paraId="2D97928A" w14:textId="77777777" w:rsidR="005F1D2D" w:rsidRPr="00B12B67" w:rsidRDefault="005F1D2D" w:rsidP="005F1D2D">
      <w:pPr>
        <w:spacing w:after="0"/>
        <w:rPr>
          <w:rFonts w:ascii="Calibri" w:eastAsia="Cambria" w:hAnsi="Calibri" w:cs="Calibri"/>
          <w:i/>
          <w:sz w:val="22"/>
          <w:szCs w:val="22"/>
        </w:rPr>
      </w:pPr>
    </w:p>
    <w:p w14:paraId="2ADD7739" w14:textId="77777777" w:rsidR="005F1D2D" w:rsidRPr="00B12B67" w:rsidRDefault="005F1D2D" w:rsidP="005F1D2D">
      <w:pPr>
        <w:pStyle w:val="ListParagraph"/>
        <w:numPr>
          <w:ilvl w:val="0"/>
          <w:numId w:val="43"/>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0D339D4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1026536A"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295AC514"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1A475341"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3D51A6ED"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r>
        <w:rPr>
          <w:rFonts w:ascii="Calibri" w:eastAsia="Calibri" w:hAnsi="Calibri" w:cs="Calibri"/>
          <w:sz w:val="22"/>
          <w:szCs w:val="22"/>
          <w:lang w:val="en-GB" w:eastAsia="en-US"/>
        </w:rPr>
        <w:t xml:space="preserve"> Following this five-year period, the personal data is transferred to the historical archives and a review takes place no later than 25 years after that transfer to the historical archives to evaluate whether to keep the data permanently or to delete some or all data.</w:t>
      </w:r>
    </w:p>
    <w:p w14:paraId="007DA26D"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r>
        <w:rPr>
          <w:rFonts w:ascii="Calibri" w:eastAsia="Calibri" w:hAnsi="Calibri" w:cs="Calibri"/>
          <w:sz w:val="22"/>
          <w:szCs w:val="22"/>
          <w:lang w:val="en-GB" w:eastAsia="en-US"/>
        </w:rPr>
        <w:t xml:space="preserve"> Following this five-year period after the closure of the group, the personal data is transferred to the historical archives and a review takes place no later than 25 years from that transfer to evaluate whether to keep the data permanently or to delete some or all data.</w:t>
      </w:r>
    </w:p>
    <w:p w14:paraId="6ECCD848"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43923433"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5AE95913" w14:textId="527D6219"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xml:space="preserve">. All personal data in electronic format (e-mails, documents, databases, uploaded batches of data, etc.) are stored on the servers of the </w:t>
      </w:r>
      <w:r w:rsidRPr="005573EE">
        <w:rPr>
          <w:rFonts w:ascii="Calibri" w:eastAsia="Calibri" w:hAnsi="Calibri" w:cs="Calibri"/>
          <w:bCs/>
          <w:sz w:val="22"/>
          <w:szCs w:val="22"/>
        </w:rPr>
        <w:t>Commission</w:t>
      </w:r>
      <w:r w:rsidRPr="005573EE">
        <w:rPr>
          <w:rFonts w:ascii="Calibri" w:eastAsia="Calibri" w:hAnsi="Calibri" w:cs="Calibri"/>
          <w:bCs/>
          <w:i/>
          <w:sz w:val="22"/>
          <w:szCs w:val="22"/>
        </w:rPr>
        <w:t>.</w:t>
      </w:r>
      <w:r w:rsidRPr="005573EE">
        <w:rPr>
          <w:rFonts w:ascii="Calibri" w:eastAsia="Calibri" w:hAnsi="Calibri" w:cs="Calibri"/>
          <w:bCs/>
          <w:sz w:val="22"/>
          <w:szCs w:val="22"/>
        </w:rPr>
        <w:t xml:space="preserve"> All </w:t>
      </w:r>
      <w:r w:rsidRPr="00B12B67">
        <w:rPr>
          <w:rFonts w:ascii="Calibri" w:eastAsia="Calibri" w:hAnsi="Calibri" w:cs="Calibri"/>
          <w:bCs/>
          <w:sz w:val="22"/>
          <w:szCs w:val="22"/>
        </w:rPr>
        <w:t xml:space="preserve">processing operations are carried out pursuant to the </w:t>
      </w:r>
      <w:hyperlink r:id="rId21"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450B11DB" w14:textId="77777777" w:rsidR="005F1D2D" w:rsidRDefault="005F1D2D" w:rsidP="005F1D2D">
      <w:pPr>
        <w:spacing w:after="200"/>
        <w:rPr>
          <w:rFonts w:ascii="Calibri" w:eastAsia="Calibri" w:hAnsi="Calibri" w:cs="Calibri"/>
          <w:sz w:val="22"/>
          <w:szCs w:val="22"/>
        </w:rPr>
      </w:pPr>
      <w:r w:rsidRPr="00B12B67">
        <w:rPr>
          <w:rFonts w:ascii="Calibri" w:eastAsia="Calibri" w:hAnsi="Calibri" w:cs="Calibri"/>
          <w:sz w:val="22"/>
          <w:szCs w:val="22"/>
        </w:rPr>
        <w:t xml:space="preserve">In order to protect your personal data, the Commission has put in place a number of technical and organisational measures. Technical measures include appropriate actions to address online </w:t>
      </w:r>
      <w:r w:rsidRPr="00B12B67">
        <w:rPr>
          <w:rFonts w:ascii="Calibri" w:eastAsia="Calibri" w:hAnsi="Calibri" w:cs="Calibri"/>
          <w:sz w:val="22"/>
          <w:szCs w:val="22"/>
        </w:rPr>
        <w:lastRenderedPageBreak/>
        <w:t>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4491DAF"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1404A5A2"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1152F047"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xml:space="preserve">, </w:t>
      </w:r>
      <w:r>
        <w:rPr>
          <w:rFonts w:ascii="Calibri" w:eastAsia="Calibri" w:hAnsi="Calibri" w:cs="Calibri"/>
          <w:bCs/>
          <w:sz w:val="22"/>
          <w:szCs w:val="22"/>
        </w:rPr>
        <w:t>are</w:t>
      </w:r>
      <w:r w:rsidRPr="00B12B67">
        <w:rPr>
          <w:rFonts w:ascii="Calibri" w:eastAsia="Calibri" w:hAnsi="Calibri" w:cs="Calibri"/>
          <w:bCs/>
          <w:sz w:val="22"/>
          <w:szCs w:val="22"/>
        </w:rPr>
        <w:t xml:space="preserve">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5D87EA7" w14:textId="77777777" w:rsidR="005F1D2D"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4D7FA29C" w14:textId="77777777" w:rsidR="005F1D2D" w:rsidRPr="00A824E3" w:rsidRDefault="005F1D2D" w:rsidP="005F1D2D">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w:t>
      </w:r>
      <w:r>
        <w:rPr>
          <w:rFonts w:ascii="Calibri" w:eastAsia="Calibri" w:hAnsi="Calibri" w:cs="Calibri"/>
          <w:sz w:val="22"/>
          <w:szCs w:val="22"/>
          <w:lang w:val="en-IE"/>
        </w:rPr>
        <w:t>, European Ombudsman</w:t>
      </w:r>
      <w:r w:rsidRPr="00A824E3">
        <w:rPr>
          <w:rFonts w:ascii="Calibri" w:eastAsia="Calibri" w:hAnsi="Calibri" w:cs="Calibri"/>
          <w:sz w:val="22"/>
          <w:szCs w:val="22"/>
          <w:lang w:val="en-IE"/>
        </w:rPr>
        <w:t>)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48E21A0" w14:textId="77777777" w:rsidR="005F1D2D" w:rsidRPr="00F45573" w:rsidRDefault="005F1D2D" w:rsidP="005F1D2D">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4BACC0A1" w14:textId="77777777" w:rsidR="005F1D2D" w:rsidRPr="00B12B67" w:rsidRDefault="005F1D2D" w:rsidP="005F1D2D">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3D66C199"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w:t>
      </w:r>
      <w:r>
        <w:rPr>
          <w:rFonts w:ascii="Calibri" w:eastAsia="Calibri" w:hAnsi="Calibri" w:cs="Calibri"/>
          <w:bCs/>
          <w:sz w:val="22"/>
          <w:szCs w:val="22"/>
        </w:rPr>
        <w:t xml:space="preserve"> and Article 35</w:t>
      </w:r>
      <w:r w:rsidRPr="00B12B67">
        <w:rPr>
          <w:rFonts w:ascii="Calibri" w:eastAsia="Calibri" w:hAnsi="Calibri" w:cs="Calibri"/>
          <w:bCs/>
          <w:sz w:val="22"/>
          <w:szCs w:val="22"/>
        </w:rPr>
        <w:t>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2A1DCDA5"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466FC38"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0DE6E2EA"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6D9BD411"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0E237EB3"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lastRenderedPageBreak/>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25D0C7B6" w14:textId="0CC856E8" w:rsidR="005F1D2D" w:rsidRPr="00B12B67" w:rsidRDefault="005F1D2D" w:rsidP="005F1D2D">
      <w:pPr>
        <w:rPr>
          <w:rFonts w:ascii="Calibri" w:eastAsia="Calibri" w:hAnsi="Calibri" w:cs="Calibri"/>
          <w:bCs/>
          <w:sz w:val="22"/>
          <w:szCs w:val="22"/>
        </w:rPr>
      </w:pPr>
      <w:r w:rsidRPr="00AF5079">
        <w:rPr>
          <w:rFonts w:ascii="Calibri" w:eastAsia="Calibri" w:hAnsi="Calibri" w:cs="Calibri"/>
          <w:bCs/>
          <w:sz w:val="22"/>
          <w:szCs w:val="22"/>
        </w:rPr>
        <w:t xml:space="preserve">Data subject requests shall be handled within one month from receipt of the request by the Commission. That period may be extended pursuant to 14(3) of Regulation (EU) 2018/1725. Should more time be required to handle the request for justified reasons, the data subject shall receive a holding reply from the </w:t>
      </w:r>
      <w:r>
        <w:rPr>
          <w:rFonts w:ascii="Calibri" w:eastAsia="Calibri" w:hAnsi="Calibri" w:cs="Calibri"/>
          <w:bCs/>
          <w:sz w:val="22"/>
          <w:szCs w:val="22"/>
        </w:rPr>
        <w:t xml:space="preserve">unit </w:t>
      </w:r>
      <w:r w:rsidRPr="00AF5079">
        <w:rPr>
          <w:rFonts w:ascii="Calibri" w:eastAsia="Calibri" w:hAnsi="Calibri" w:cs="Calibri"/>
          <w:bCs/>
          <w:sz w:val="22"/>
          <w:szCs w:val="22"/>
        </w:rPr>
        <w:t>responsible for the request.</w:t>
      </w:r>
    </w:p>
    <w:p w14:paraId="558A4F89" w14:textId="77777777" w:rsidR="005F1D2D" w:rsidRPr="00B12B67" w:rsidRDefault="005F1D2D" w:rsidP="005F1D2D">
      <w:pPr>
        <w:keepNext/>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61A1103" w14:textId="77777777" w:rsidR="005F1D2D" w:rsidRPr="00B12B67" w:rsidRDefault="005F1D2D" w:rsidP="005F1D2D">
      <w:pPr>
        <w:pStyle w:val="ListParagraph"/>
        <w:keepNext/>
        <w:widowControl w:val="0"/>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210B7C8E" w14:textId="3F66244C" w:rsidR="005F1D2D" w:rsidRDefault="005F1D2D" w:rsidP="005F1D2D">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hyperlink r:id="rId22" w:history="1">
        <w:r w:rsidR="0087370D" w:rsidRPr="00801138">
          <w:rPr>
            <w:rStyle w:val="Hyperlink"/>
            <w:rFonts w:ascii="Calibri" w:eastAsia="Calibri" w:hAnsi="Calibri" w:cs="Calibri"/>
            <w:sz w:val="22"/>
            <w:szCs w:val="22"/>
          </w:rPr>
          <w:t>MOVE-C2-SECRETARIAT@ec.europa.eu</w:t>
        </w:r>
      </w:hyperlink>
      <w:r w:rsidRPr="00066AC1">
        <w:rPr>
          <w:rFonts w:ascii="Calibri" w:eastAsia="Calibri" w:hAnsi="Calibri" w:cs="Calibri"/>
          <w:sz w:val="22"/>
          <w:szCs w:val="22"/>
        </w:rPr>
        <w:t>.</w:t>
      </w:r>
    </w:p>
    <w:p w14:paraId="50B60C9B" w14:textId="77777777" w:rsidR="005F1D2D" w:rsidRPr="00B12B67" w:rsidRDefault="005F1D2D" w:rsidP="005F1D2D">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Pr>
          <w:rFonts w:ascii="Calibri" w:eastAsia="Calibri" w:hAnsi="Calibri" w:cs="Calibri"/>
          <w:sz w:val="22"/>
          <w:szCs w:val="22"/>
        </w:rPr>
        <w:t>F</w:t>
      </w:r>
      <w:r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3"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730E78E9" w14:textId="77777777" w:rsidR="005F1D2D" w:rsidRPr="00B12B67" w:rsidRDefault="005F1D2D" w:rsidP="005F1D2D">
      <w:pPr>
        <w:pStyle w:val="ListParagraph"/>
        <w:keepNext/>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0D418459" w14:textId="77777777" w:rsidR="005F1D2D" w:rsidRPr="00B12B67" w:rsidRDefault="005F1D2D" w:rsidP="005F1D2D">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4"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257F0DFF" w14:textId="77777777" w:rsidR="005F1D2D" w:rsidRPr="00B12B67" w:rsidRDefault="005F1D2D" w:rsidP="005F1D2D">
      <w:pPr>
        <w:spacing w:after="0"/>
        <w:rPr>
          <w:rFonts w:ascii="Calibri" w:eastAsia="Calibri" w:hAnsi="Calibri" w:cs="Calibri"/>
          <w:sz w:val="22"/>
          <w:szCs w:val="22"/>
        </w:rPr>
      </w:pPr>
    </w:p>
    <w:p w14:paraId="1648A3F1" w14:textId="77777777" w:rsidR="005F1D2D" w:rsidRPr="00B12B67" w:rsidRDefault="005F1D2D" w:rsidP="005F1D2D">
      <w:pPr>
        <w:pStyle w:val="ListParagraph"/>
        <w:keepNext/>
        <w:numPr>
          <w:ilvl w:val="0"/>
          <w:numId w:val="44"/>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7BC5FFC8" w14:textId="77777777" w:rsidR="005F1D2D" w:rsidRPr="00B12B67" w:rsidRDefault="005F1D2D" w:rsidP="005F1D2D">
      <w:pPr>
        <w:spacing w:after="0"/>
        <w:rPr>
          <w:rFonts w:ascii="Calibri" w:eastAsia="Calibri" w:hAnsi="Calibri" w:cs="Calibri"/>
          <w:sz w:val="22"/>
          <w:szCs w:val="22"/>
        </w:rPr>
      </w:pPr>
    </w:p>
    <w:p w14:paraId="75F29470"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5"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76358565"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7E4B6581"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6"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7F6AF4FC" w14:textId="18B1EF97" w:rsidR="00334821" w:rsidRPr="0087370D" w:rsidRDefault="005F1D2D" w:rsidP="0087370D">
      <w:pPr>
        <w:rPr>
          <w:rFonts w:ascii="Calibri" w:eastAsia="Calibri" w:hAnsi="Calibri" w:cs="Calibri"/>
          <w:b/>
          <w:sz w:val="22"/>
          <w:szCs w:val="22"/>
          <w:u w:val="singl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E60B3A">
        <w:rPr>
          <w:rFonts w:ascii="Calibri" w:eastAsia="Calibri" w:hAnsi="Calibri" w:cs="Calibri"/>
          <w:sz w:val="22"/>
          <w:szCs w:val="22"/>
        </w:rPr>
        <w:t>DPR-EC-01066</w:t>
      </w:r>
      <w:r>
        <w:rPr>
          <w:rFonts w:ascii="Calibri" w:eastAsia="Calibri" w:hAnsi="Calibri" w:cs="Calibri"/>
          <w:sz w:val="22"/>
          <w:szCs w:val="22"/>
        </w:rPr>
        <w:t xml:space="preserve"> and DPR-EC-00656.</w:t>
      </w:r>
    </w:p>
    <w:sectPr w:rsidR="00334821" w:rsidRPr="0087370D" w:rsidSect="005D72C9">
      <w:headerReference w:type="even" r:id="rId27"/>
      <w:headerReference w:type="default" r:id="rId28"/>
      <w:footerReference w:type="even" r:id="rId29"/>
      <w:footerReference w:type="default" r:id="rId30"/>
      <w:headerReference w:type="first" r:id="rId31"/>
      <w:footerReference w:type="first" r:id="rId3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6EA6" w14:textId="77777777" w:rsidR="00502F75" w:rsidRDefault="00502F75" w:rsidP="000941A7">
      <w:pPr>
        <w:spacing w:after="0"/>
      </w:pPr>
      <w:r>
        <w:separator/>
      </w:r>
    </w:p>
  </w:endnote>
  <w:endnote w:type="continuationSeparator" w:id="0">
    <w:p w14:paraId="485B6EA7" w14:textId="77777777" w:rsidR="00502F75" w:rsidRDefault="00502F75"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A" w14:textId="77777777" w:rsidR="00502F75" w:rsidRDefault="0050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B" w14:textId="61A4CA6D" w:rsidR="00502F75" w:rsidRDefault="00502F75">
    <w:pPr>
      <w:pStyle w:val="Footer"/>
      <w:jc w:val="center"/>
    </w:pPr>
    <w:r>
      <w:fldChar w:fldCharType="begin"/>
    </w:r>
    <w:r>
      <w:instrText>PAGE</w:instrText>
    </w:r>
    <w:r>
      <w:fldChar w:fldCharType="separate"/>
    </w:r>
    <w:r w:rsidR="00834968">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D" w14:textId="77777777" w:rsidR="00502F75" w:rsidRDefault="0050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6EA4" w14:textId="77777777" w:rsidR="00502F75" w:rsidRDefault="00502F75" w:rsidP="000941A7">
      <w:pPr>
        <w:spacing w:after="0"/>
      </w:pPr>
      <w:r>
        <w:separator/>
      </w:r>
    </w:p>
  </w:footnote>
  <w:footnote w:type="continuationSeparator" w:id="0">
    <w:p w14:paraId="485B6EA5" w14:textId="77777777" w:rsidR="00502F75" w:rsidRDefault="00502F75" w:rsidP="000941A7">
      <w:pPr>
        <w:spacing w:after="0"/>
      </w:pPr>
      <w:r>
        <w:continuationSeparator/>
      </w:r>
    </w:p>
  </w:footnote>
  <w:footnote w:id="1">
    <w:p w14:paraId="5AA65B57" w14:textId="1ADF8C4E" w:rsidR="00830438" w:rsidRPr="0080503A" w:rsidRDefault="00830438">
      <w:pPr>
        <w:pStyle w:val="FootnoteText"/>
        <w:rPr>
          <w:lang w:val="en-IE"/>
        </w:rPr>
      </w:pPr>
      <w:r>
        <w:rPr>
          <w:rStyle w:val="FootnoteReference"/>
        </w:rPr>
        <w:footnoteRef/>
      </w:r>
      <w:r>
        <w:t xml:space="preserve"> </w:t>
      </w:r>
      <w:r>
        <w:tab/>
      </w:r>
      <w:r w:rsidRPr="00830438">
        <w:t>Directive 2008/96/EC on road infrastructure safety management (OJ L 319, 29.11.2008, p. 59), as amended in 2019</w:t>
      </w:r>
    </w:p>
  </w:footnote>
  <w:footnote w:id="2">
    <w:p w14:paraId="4E22C9B6" w14:textId="77777777" w:rsidR="00C27C0B" w:rsidRPr="00611EEF" w:rsidRDefault="00C27C0B" w:rsidP="00C27C0B">
      <w:pPr>
        <w:pStyle w:val="FootnoteText"/>
        <w:spacing w:after="0"/>
      </w:pPr>
    </w:p>
  </w:footnote>
  <w:footnote w:id="3">
    <w:p w14:paraId="485B6EC1" w14:textId="1D0884A6" w:rsidR="00502F75" w:rsidRDefault="00502F75" w:rsidP="003863C6">
      <w:pPr>
        <w:pStyle w:val="FootnoteText"/>
        <w:spacing w:after="0"/>
      </w:pPr>
      <w:r>
        <w:rPr>
          <w:rStyle w:val="FootnoteReference"/>
        </w:rPr>
        <w:footnoteRef/>
      </w:r>
      <w:r>
        <w:t xml:space="preserve"> </w:t>
      </w:r>
      <w:r>
        <w:tab/>
        <w:t>C(2016) 3301.</w:t>
      </w:r>
    </w:p>
  </w:footnote>
  <w:footnote w:id="4">
    <w:p w14:paraId="485B6ECA" w14:textId="77777777" w:rsidR="00502F75" w:rsidRDefault="00502F75"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5">
    <w:p w14:paraId="485B6ECB" w14:textId="77777777" w:rsidR="00502F75" w:rsidRDefault="00502F75"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6">
    <w:p w14:paraId="5522E6E2" w14:textId="63B970C3" w:rsidR="00502F75" w:rsidRPr="00F677C4" w:rsidRDefault="00502F75" w:rsidP="000A6A45">
      <w:pPr>
        <w:pStyle w:val="FootnoteText"/>
        <w:spacing w:after="0"/>
      </w:pPr>
      <w:r>
        <w:rPr>
          <w:rStyle w:val="FootnoteReference"/>
        </w:rPr>
        <w:footnoteRef/>
      </w:r>
      <w:r>
        <w:t xml:space="preserve"> </w:t>
      </w:r>
      <w:r>
        <w:tab/>
      </w:r>
      <w:hyperlink r:id="rId1" w:history="1">
        <w:r w:rsidRPr="00213F0D">
          <w:rPr>
            <w:rStyle w:val="Hyperlink"/>
          </w:rPr>
          <w:t>http://ec.europa.eu/transparency/regexpert/index.cfm</w:t>
        </w:r>
      </w:hyperlink>
      <w:r>
        <w:t xml:space="preserve"> </w:t>
      </w:r>
    </w:p>
  </w:footnote>
  <w:footnote w:id="7">
    <w:p w14:paraId="485B6ED4" w14:textId="77777777" w:rsidR="00502F75" w:rsidRDefault="00502F75"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8">
    <w:p w14:paraId="485B6EDD" w14:textId="77777777" w:rsidR="00502F75" w:rsidRDefault="00502F75"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9">
    <w:p w14:paraId="485B6EE3" w14:textId="77777777" w:rsidR="00502F75" w:rsidRDefault="00502F75"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0">
    <w:p w14:paraId="485B6EE7" w14:textId="77777777" w:rsidR="00502F75" w:rsidRDefault="00502F75" w:rsidP="003863C6">
      <w:pPr>
        <w:pStyle w:val="FootnoteText"/>
        <w:spacing w:after="0"/>
      </w:pPr>
      <w:r>
        <w:rPr>
          <w:rStyle w:val="FootnoteReference"/>
        </w:rPr>
        <w:footnoteRef/>
      </w:r>
      <w:r>
        <w:t xml:space="preserve"> </w:t>
      </w:r>
      <w:r>
        <w:tab/>
        <w:t>Idem.</w:t>
      </w:r>
    </w:p>
  </w:footnote>
  <w:footnote w:id="11">
    <w:p w14:paraId="6FB1119C" w14:textId="77777777" w:rsidR="005F1D2D" w:rsidRPr="00E663A9" w:rsidRDefault="005F1D2D" w:rsidP="005F1D2D">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2">
    <w:p w14:paraId="76FD89E6" w14:textId="77777777" w:rsidR="005F1D2D" w:rsidRPr="00F367C0" w:rsidRDefault="005F1D2D" w:rsidP="005F1D2D">
      <w:pPr>
        <w:pStyle w:val="FootnoteText"/>
      </w:pPr>
      <w:r w:rsidRPr="00DE00F2">
        <w:rPr>
          <w:rStyle w:val="FootnoteReference"/>
        </w:rPr>
        <w:footnoteRef/>
      </w:r>
      <w:r w:rsidRPr="00DE00F2">
        <w:t xml:space="preserve"> </w:t>
      </w:r>
      <w:r w:rsidRPr="00DE00F2">
        <w:tab/>
        <w:t>The Commission department responsible for the management of the expert group and the DPMS record number need to be specified in the privacy statement attached to the call.</w:t>
      </w:r>
    </w:p>
  </w:footnote>
  <w:footnote w:id="13">
    <w:p w14:paraId="77A0430C" w14:textId="77777777" w:rsidR="005F1D2D" w:rsidRPr="000F1BB3" w:rsidRDefault="005F1D2D" w:rsidP="005F1D2D">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8" w14:textId="77777777" w:rsidR="00502F75" w:rsidRDefault="0050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9" w14:textId="77777777" w:rsidR="00502F75" w:rsidRDefault="00502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C" w14:textId="77777777" w:rsidR="00502F75" w:rsidRDefault="00502F7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8"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6"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626161119">
    <w:abstractNumId w:val="1"/>
  </w:num>
  <w:num w:numId="2" w16cid:durableId="873150330">
    <w:abstractNumId w:val="0"/>
  </w:num>
  <w:num w:numId="3" w16cid:durableId="1437402144">
    <w:abstractNumId w:val="26"/>
  </w:num>
  <w:num w:numId="4" w16cid:durableId="463162938">
    <w:abstractNumId w:val="29"/>
  </w:num>
  <w:num w:numId="5" w16cid:durableId="1738505794">
    <w:abstractNumId w:val="19"/>
  </w:num>
  <w:num w:numId="6" w16cid:durableId="1160006333">
    <w:abstractNumId w:val="13"/>
  </w:num>
  <w:num w:numId="7" w16cid:durableId="1049645603">
    <w:abstractNumId w:val="7"/>
  </w:num>
  <w:num w:numId="8" w16cid:durableId="1984580760">
    <w:abstractNumId w:val="6"/>
  </w:num>
  <w:num w:numId="9" w16cid:durableId="738752895">
    <w:abstractNumId w:val="35"/>
  </w:num>
  <w:num w:numId="10" w16cid:durableId="1159662657">
    <w:abstractNumId w:val="37"/>
  </w:num>
  <w:num w:numId="11" w16cid:durableId="855584998">
    <w:abstractNumId w:val="36"/>
  </w:num>
  <w:num w:numId="12" w16cid:durableId="838154930">
    <w:abstractNumId w:val="38"/>
  </w:num>
  <w:num w:numId="13" w16cid:durableId="670054">
    <w:abstractNumId w:val="10"/>
  </w:num>
  <w:num w:numId="14" w16cid:durableId="1196578910">
    <w:abstractNumId w:val="21"/>
  </w:num>
  <w:num w:numId="15" w16cid:durableId="432669363">
    <w:abstractNumId w:val="23"/>
  </w:num>
  <w:num w:numId="16" w16cid:durableId="333262009">
    <w:abstractNumId w:val="22"/>
  </w:num>
  <w:num w:numId="17" w16cid:durableId="2116555169">
    <w:abstractNumId w:val="2"/>
  </w:num>
  <w:num w:numId="18" w16cid:durableId="610434523">
    <w:abstractNumId w:val="24"/>
  </w:num>
  <w:num w:numId="19" w16cid:durableId="1094520150">
    <w:abstractNumId w:val="14"/>
  </w:num>
  <w:num w:numId="20" w16cid:durableId="177891614">
    <w:abstractNumId w:val="25"/>
  </w:num>
  <w:num w:numId="21" w16cid:durableId="1649824836">
    <w:abstractNumId w:val="18"/>
  </w:num>
  <w:num w:numId="22" w16cid:durableId="629897297">
    <w:abstractNumId w:val="14"/>
  </w:num>
  <w:num w:numId="23" w16cid:durableId="984090444">
    <w:abstractNumId w:val="14"/>
  </w:num>
  <w:num w:numId="24" w16cid:durableId="600920512">
    <w:abstractNumId w:val="14"/>
  </w:num>
  <w:num w:numId="25" w16cid:durableId="1069494746">
    <w:abstractNumId w:val="14"/>
  </w:num>
  <w:num w:numId="26" w16cid:durableId="14429353">
    <w:abstractNumId w:val="14"/>
  </w:num>
  <w:num w:numId="27" w16cid:durableId="666712466">
    <w:abstractNumId w:val="14"/>
  </w:num>
  <w:num w:numId="28" w16cid:durableId="81799464">
    <w:abstractNumId w:val="17"/>
  </w:num>
  <w:num w:numId="29" w16cid:durableId="768241002">
    <w:abstractNumId w:val="11"/>
  </w:num>
  <w:num w:numId="30" w16cid:durableId="518474887">
    <w:abstractNumId w:val="33"/>
  </w:num>
  <w:num w:numId="31" w16cid:durableId="662047458">
    <w:abstractNumId w:val="5"/>
  </w:num>
  <w:num w:numId="32" w16cid:durableId="1665936411">
    <w:abstractNumId w:val="40"/>
  </w:num>
  <w:num w:numId="33" w16cid:durableId="161286707">
    <w:abstractNumId w:val="3"/>
  </w:num>
  <w:num w:numId="34" w16cid:durableId="791092032">
    <w:abstractNumId w:val="12"/>
  </w:num>
  <w:num w:numId="35" w16cid:durableId="1967812467">
    <w:abstractNumId w:val="27"/>
  </w:num>
  <w:num w:numId="36" w16cid:durableId="1712068215">
    <w:abstractNumId w:val="9"/>
  </w:num>
  <w:num w:numId="37" w16cid:durableId="642737936">
    <w:abstractNumId w:val="31"/>
  </w:num>
  <w:num w:numId="38" w16cid:durableId="302200823">
    <w:abstractNumId w:val="32"/>
  </w:num>
  <w:num w:numId="39" w16cid:durableId="1971741602">
    <w:abstractNumId w:val="34"/>
  </w:num>
  <w:num w:numId="40" w16cid:durableId="842818356">
    <w:abstractNumId w:val="20"/>
  </w:num>
  <w:num w:numId="41" w16cid:durableId="1819611465">
    <w:abstractNumId w:val="4"/>
  </w:num>
  <w:num w:numId="42" w16cid:durableId="1670982909">
    <w:abstractNumId w:val="28"/>
  </w:num>
  <w:num w:numId="43" w16cid:durableId="1452357695">
    <w:abstractNumId w:val="39"/>
  </w:num>
  <w:num w:numId="44" w16cid:durableId="451553713">
    <w:abstractNumId w:val="8"/>
  </w:num>
  <w:num w:numId="45" w16cid:durableId="2084330662">
    <w:abstractNumId w:val="30"/>
  </w:num>
  <w:num w:numId="46" w16cid:durableId="2120442861">
    <w:abstractNumId w:val="15"/>
  </w:num>
  <w:num w:numId="47" w16cid:durableId="16898134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0941A7"/>
    <w:rsid w:val="000057BF"/>
    <w:rsid w:val="00017F87"/>
    <w:rsid w:val="00034001"/>
    <w:rsid w:val="000367B4"/>
    <w:rsid w:val="00037254"/>
    <w:rsid w:val="0004052B"/>
    <w:rsid w:val="00064DCF"/>
    <w:rsid w:val="00092F73"/>
    <w:rsid w:val="000941A7"/>
    <w:rsid w:val="000A6A45"/>
    <w:rsid w:val="000D0201"/>
    <w:rsid w:val="000D4C87"/>
    <w:rsid w:val="000E410B"/>
    <w:rsid w:val="000E7308"/>
    <w:rsid w:val="0010292E"/>
    <w:rsid w:val="00104722"/>
    <w:rsid w:val="00107F0A"/>
    <w:rsid w:val="00115AAE"/>
    <w:rsid w:val="0014185B"/>
    <w:rsid w:val="0014209C"/>
    <w:rsid w:val="00147865"/>
    <w:rsid w:val="00160AC8"/>
    <w:rsid w:val="0017704E"/>
    <w:rsid w:val="001B6CB1"/>
    <w:rsid w:val="001C3613"/>
    <w:rsid w:val="001E0F82"/>
    <w:rsid w:val="001E2CB6"/>
    <w:rsid w:val="001F14DF"/>
    <w:rsid w:val="001F232F"/>
    <w:rsid w:val="002006E7"/>
    <w:rsid w:val="00212E9A"/>
    <w:rsid w:val="00215566"/>
    <w:rsid w:val="00251985"/>
    <w:rsid w:val="00255EDD"/>
    <w:rsid w:val="00263255"/>
    <w:rsid w:val="0026648B"/>
    <w:rsid w:val="00272BD1"/>
    <w:rsid w:val="00275A25"/>
    <w:rsid w:val="002912A5"/>
    <w:rsid w:val="002A24FF"/>
    <w:rsid w:val="002B039E"/>
    <w:rsid w:val="002B2F79"/>
    <w:rsid w:val="002B3BDA"/>
    <w:rsid w:val="002C5C92"/>
    <w:rsid w:val="002E611C"/>
    <w:rsid w:val="002E743D"/>
    <w:rsid w:val="00302782"/>
    <w:rsid w:val="003154E6"/>
    <w:rsid w:val="00316358"/>
    <w:rsid w:val="003228CA"/>
    <w:rsid w:val="00334821"/>
    <w:rsid w:val="00350921"/>
    <w:rsid w:val="0036445B"/>
    <w:rsid w:val="00377578"/>
    <w:rsid w:val="003857C3"/>
    <w:rsid w:val="003863C6"/>
    <w:rsid w:val="00391DD1"/>
    <w:rsid w:val="0039671C"/>
    <w:rsid w:val="003A5D8C"/>
    <w:rsid w:val="003B4AED"/>
    <w:rsid w:val="003C266F"/>
    <w:rsid w:val="003D0BDF"/>
    <w:rsid w:val="003E7BB8"/>
    <w:rsid w:val="003F3D8D"/>
    <w:rsid w:val="003F76E3"/>
    <w:rsid w:val="00424462"/>
    <w:rsid w:val="004334D8"/>
    <w:rsid w:val="00434E64"/>
    <w:rsid w:val="00463706"/>
    <w:rsid w:val="00465CA3"/>
    <w:rsid w:val="004A57C9"/>
    <w:rsid w:val="004B4D43"/>
    <w:rsid w:val="004B6CEF"/>
    <w:rsid w:val="004E3C04"/>
    <w:rsid w:val="004F479A"/>
    <w:rsid w:val="00502F75"/>
    <w:rsid w:val="005568F8"/>
    <w:rsid w:val="005573EE"/>
    <w:rsid w:val="00582AD3"/>
    <w:rsid w:val="0058582B"/>
    <w:rsid w:val="005C1F9E"/>
    <w:rsid w:val="005C72E5"/>
    <w:rsid w:val="005D72C9"/>
    <w:rsid w:val="005E024C"/>
    <w:rsid w:val="005F1D2D"/>
    <w:rsid w:val="00611864"/>
    <w:rsid w:val="00611EEF"/>
    <w:rsid w:val="006154EE"/>
    <w:rsid w:val="006267BC"/>
    <w:rsid w:val="0062707E"/>
    <w:rsid w:val="006455CE"/>
    <w:rsid w:val="00651F9B"/>
    <w:rsid w:val="00661903"/>
    <w:rsid w:val="00670B29"/>
    <w:rsid w:val="00696A75"/>
    <w:rsid w:val="006A6FA8"/>
    <w:rsid w:val="006D44B2"/>
    <w:rsid w:val="006D4839"/>
    <w:rsid w:val="006E3078"/>
    <w:rsid w:val="006F2EEE"/>
    <w:rsid w:val="006F4C1B"/>
    <w:rsid w:val="006F6975"/>
    <w:rsid w:val="00705F0A"/>
    <w:rsid w:val="00713FCF"/>
    <w:rsid w:val="0072535C"/>
    <w:rsid w:val="00734887"/>
    <w:rsid w:val="007403AC"/>
    <w:rsid w:val="00741D7F"/>
    <w:rsid w:val="00760C7E"/>
    <w:rsid w:val="00761911"/>
    <w:rsid w:val="00780863"/>
    <w:rsid w:val="007B5F7B"/>
    <w:rsid w:val="007B6DE2"/>
    <w:rsid w:val="0080503A"/>
    <w:rsid w:val="00806CE9"/>
    <w:rsid w:val="00830438"/>
    <w:rsid w:val="00834968"/>
    <w:rsid w:val="0085452F"/>
    <w:rsid w:val="00871846"/>
    <w:rsid w:val="0087370D"/>
    <w:rsid w:val="008A3175"/>
    <w:rsid w:val="008B50D4"/>
    <w:rsid w:val="008C067C"/>
    <w:rsid w:val="008C3F40"/>
    <w:rsid w:val="008C3FC0"/>
    <w:rsid w:val="008D2532"/>
    <w:rsid w:val="008F42E7"/>
    <w:rsid w:val="00907416"/>
    <w:rsid w:val="009244B9"/>
    <w:rsid w:val="0092587C"/>
    <w:rsid w:val="00942AE0"/>
    <w:rsid w:val="00965903"/>
    <w:rsid w:val="00977705"/>
    <w:rsid w:val="009913BB"/>
    <w:rsid w:val="00993C8F"/>
    <w:rsid w:val="0099785B"/>
    <w:rsid w:val="009A626B"/>
    <w:rsid w:val="009B27DE"/>
    <w:rsid w:val="009B4327"/>
    <w:rsid w:val="009C1CA8"/>
    <w:rsid w:val="009C3866"/>
    <w:rsid w:val="009D2CDC"/>
    <w:rsid w:val="009F26F6"/>
    <w:rsid w:val="00A12E57"/>
    <w:rsid w:val="00A67022"/>
    <w:rsid w:val="00AB3500"/>
    <w:rsid w:val="00AB3BEF"/>
    <w:rsid w:val="00AD3381"/>
    <w:rsid w:val="00AD59D0"/>
    <w:rsid w:val="00AF2A2A"/>
    <w:rsid w:val="00B1480D"/>
    <w:rsid w:val="00B23B8E"/>
    <w:rsid w:val="00B30406"/>
    <w:rsid w:val="00B3528D"/>
    <w:rsid w:val="00B71FFC"/>
    <w:rsid w:val="00B737DB"/>
    <w:rsid w:val="00B86963"/>
    <w:rsid w:val="00B8741A"/>
    <w:rsid w:val="00B92117"/>
    <w:rsid w:val="00BA4E3E"/>
    <w:rsid w:val="00BB1CD5"/>
    <w:rsid w:val="00BC39E1"/>
    <w:rsid w:val="00BE7560"/>
    <w:rsid w:val="00BF15A3"/>
    <w:rsid w:val="00C030B0"/>
    <w:rsid w:val="00C121EE"/>
    <w:rsid w:val="00C16AD3"/>
    <w:rsid w:val="00C2235E"/>
    <w:rsid w:val="00C27C0B"/>
    <w:rsid w:val="00C43D99"/>
    <w:rsid w:val="00C70522"/>
    <w:rsid w:val="00CA0F5D"/>
    <w:rsid w:val="00CB1FA1"/>
    <w:rsid w:val="00CC0606"/>
    <w:rsid w:val="00CC1A91"/>
    <w:rsid w:val="00CC3AD0"/>
    <w:rsid w:val="00CD47ED"/>
    <w:rsid w:val="00CE12BB"/>
    <w:rsid w:val="00CF4685"/>
    <w:rsid w:val="00CF64F1"/>
    <w:rsid w:val="00CF66EB"/>
    <w:rsid w:val="00D05B29"/>
    <w:rsid w:val="00D25785"/>
    <w:rsid w:val="00D27789"/>
    <w:rsid w:val="00D30447"/>
    <w:rsid w:val="00D318ED"/>
    <w:rsid w:val="00D410B0"/>
    <w:rsid w:val="00D535F7"/>
    <w:rsid w:val="00D73C7C"/>
    <w:rsid w:val="00D8586E"/>
    <w:rsid w:val="00D85ECF"/>
    <w:rsid w:val="00D922D2"/>
    <w:rsid w:val="00DB574D"/>
    <w:rsid w:val="00DD3AD5"/>
    <w:rsid w:val="00DD6C8F"/>
    <w:rsid w:val="00DF1D52"/>
    <w:rsid w:val="00DF331A"/>
    <w:rsid w:val="00E077FF"/>
    <w:rsid w:val="00E25E81"/>
    <w:rsid w:val="00E50BB1"/>
    <w:rsid w:val="00E648B3"/>
    <w:rsid w:val="00E72E12"/>
    <w:rsid w:val="00E75B72"/>
    <w:rsid w:val="00E8251F"/>
    <w:rsid w:val="00E85E79"/>
    <w:rsid w:val="00E91E16"/>
    <w:rsid w:val="00E95C46"/>
    <w:rsid w:val="00EB0910"/>
    <w:rsid w:val="00EB7E94"/>
    <w:rsid w:val="00EC018D"/>
    <w:rsid w:val="00EC1365"/>
    <w:rsid w:val="00EC139E"/>
    <w:rsid w:val="00EC5601"/>
    <w:rsid w:val="00EE1C82"/>
    <w:rsid w:val="00EF40D7"/>
    <w:rsid w:val="00F0612D"/>
    <w:rsid w:val="00F2645F"/>
    <w:rsid w:val="00F26C5B"/>
    <w:rsid w:val="00F32341"/>
    <w:rsid w:val="00F40E8A"/>
    <w:rsid w:val="00F53FA9"/>
    <w:rsid w:val="00F559F1"/>
    <w:rsid w:val="00F677C4"/>
    <w:rsid w:val="00F81171"/>
    <w:rsid w:val="00F82CFA"/>
    <w:rsid w:val="00F90AEE"/>
    <w:rsid w:val="00F94EFA"/>
    <w:rsid w:val="00F97721"/>
    <w:rsid w:val="00FB763D"/>
    <w:rsid w:val="00FC31FF"/>
    <w:rsid w:val="00FD7F83"/>
    <w:rsid w:val="00FE3C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basedOn w:val="DefaultParagraphFont"/>
    <w:link w:val="FootnoteText"/>
    <w:semiHidden/>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qFormat/>
    <w:rsid w:val="00334821"/>
    <w:pPr>
      <w:ind w:left="720"/>
      <w:contextualSpacing/>
    </w:pPr>
    <w:rPr>
      <w:lang w:val="fr-BE" w:eastAsia="fr-BE"/>
    </w:rPr>
  </w:style>
  <w:style w:type="character" w:styleId="UnresolvedMention">
    <w:name w:val="Unresolved Mention"/>
    <w:basedOn w:val="DefaultParagraphFont"/>
    <w:uiPriority w:val="99"/>
    <w:semiHidden/>
    <w:unhideWhenUsed/>
    <w:rsid w:val="004334D8"/>
    <w:rPr>
      <w:color w:val="605E5C"/>
      <w:shd w:val="clear" w:color="auto" w:fill="E1DFDD"/>
    </w:rPr>
  </w:style>
  <w:style w:type="paragraph" w:styleId="Revision">
    <w:name w:val="Revision"/>
    <w:hidden/>
    <w:uiPriority w:val="99"/>
    <w:semiHidden/>
    <w:rsid w:val="00BC39E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5889">
      <w:bodyDiv w:val="1"/>
      <w:marLeft w:val="0"/>
      <w:marRight w:val="0"/>
      <w:marTop w:val="0"/>
      <w:marBottom w:val="0"/>
      <w:divBdr>
        <w:top w:val="none" w:sz="0" w:space="0" w:color="auto"/>
        <w:left w:val="none" w:sz="0" w:space="0" w:color="auto"/>
        <w:bottom w:val="none" w:sz="0" w:space="0" w:color="auto"/>
        <w:right w:val="none" w:sz="0" w:space="0" w:color="auto"/>
      </w:divBdr>
    </w:div>
    <w:div w:id="642974150">
      <w:bodyDiv w:val="1"/>
      <w:marLeft w:val="0"/>
      <w:marRight w:val="0"/>
      <w:marTop w:val="0"/>
      <w:marBottom w:val="0"/>
      <w:divBdr>
        <w:top w:val="none" w:sz="0" w:space="0" w:color="auto"/>
        <w:left w:val="none" w:sz="0" w:space="0" w:color="auto"/>
        <w:bottom w:val="none" w:sz="0" w:space="0" w:color="auto"/>
        <w:right w:val="none" w:sz="0" w:space="0" w:color="auto"/>
      </w:divBdr>
    </w:div>
    <w:div w:id="10212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yperlink" Target="http://ec.europa.eu/dpo-register" TargetMode="External"/><Relationship Id="rId3" Type="http://schemas.openxmlformats.org/officeDocument/2006/relationships/customXml" Target="../customXml/item3.xml"/><Relationship Id="rId21" Type="http://schemas.openxmlformats.org/officeDocument/2006/relationships/hyperlink" Target="https://eur-lex.europa.eu/legal-content/EN/TXT/?qid=1548093747090&amp;uri=CELEX:32017D0046"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xUriServ/LexUriServ.do?uri=OJ:L:2003:124:0036:0041:EN:PDF" TargetMode="External"/><Relationship Id="rId25" Type="http://schemas.openxmlformats.org/officeDocument/2006/relationships/hyperlink" Target="mailto:edps@edps.europa.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Wage" TargetMode="External"/><Relationship Id="rId20" Type="http://schemas.openxmlformats.org/officeDocument/2006/relationships/hyperlink" Target="https://eur-lex.europa.eu/legal-content/EN/TXT/?uri=uriserv:OJ.L_.2018.295.01.0039.01.ENG&amp;toc=OJ:L:2018:295:T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ATA-PROTECTION-OFFICER@ec.europa.e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MOVE-C2-SECRETARIAT@ec.europa.eu" TargetMode="External"/><Relationship Id="rId23" Type="http://schemas.openxmlformats.org/officeDocument/2006/relationships/hyperlink" Target="mailto:SG-EXPERT-GROUPS@ec.europa.eu"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eu/europass/en" TargetMode="External"/><Relationship Id="rId22" Type="http://schemas.openxmlformats.org/officeDocument/2006/relationships/hyperlink" Target="mailto:MOVE-C2-SECRETARIAT@ec.europa.e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expert/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5C16-37E2-4D57-AB2B-F6A62CFFA99B}">
  <ds:schemaRefs/>
</ds:datastoreItem>
</file>

<file path=customXml/itemProps2.xml><?xml version="1.0" encoding="utf-8"?>
<ds:datastoreItem xmlns:ds="http://schemas.openxmlformats.org/officeDocument/2006/customXml" ds:itemID="{E82D0A22-B6D7-434F-BF09-788F15BCF8E8}">
  <ds:schemaRefs/>
</ds:datastoreItem>
</file>

<file path=customXml/itemProps3.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4.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F0C13B0-AE6C-4FA3-881D-2747A135759C}">
  <ds:schemaRefs/>
</ds:datastoreItem>
</file>

<file path=customXml/itemProps6.xml><?xml version="1.0" encoding="utf-8"?>
<ds:datastoreItem xmlns:ds="http://schemas.openxmlformats.org/officeDocument/2006/customXml" ds:itemID="{A3E82DEE-74DD-4A8B-A04D-14C0D0F55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31A822-D160-485C-A4D4-B86B884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18</Pages>
  <Words>6009</Words>
  <Characters>34256</Characters>
  <Application>Microsoft Office Word</Application>
  <DocSecurity>0</DocSecurity>
  <PresentationFormat>Microsoft Word 14.0</PresentationFormat>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IONESCU Mircea (MOVE)</cp:lastModifiedBy>
  <cp:revision>4</cp:revision>
  <dcterms:created xsi:type="dcterms:W3CDTF">2023-07-20T09:15:00Z</dcterms:created>
  <dcterms:modified xsi:type="dcterms:W3CDTF">2023-07-20T09:24:00Z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y fmtid="{D5CDD505-2E9C-101B-9397-08002B2CF9AE}" pid="14" name="MSIP_Label_6bd9ddd1-4d20-43f6-abfa-fc3c07406f94_Enabled">
    <vt:lpwstr>true</vt:lpwstr>
  </property>
  <property fmtid="{D5CDD505-2E9C-101B-9397-08002B2CF9AE}" pid="15" name="MSIP_Label_6bd9ddd1-4d20-43f6-abfa-fc3c07406f94_SetDate">
    <vt:lpwstr>2023-05-11T14:30:07Z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b0258f54-3293-4d7c-b8d2-07b5924ac280</vt:lpwstr>
  </property>
  <property fmtid="{D5CDD505-2E9C-101B-9397-08002B2CF9AE}" pid="20" name="MSIP_Label_6bd9ddd1-4d20-43f6-abfa-fc3c07406f94_ContentBits">
    <vt:lpwstr>0</vt:lpwstr>
  </property>
</Properties>
</file>