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490A" w14:textId="77777777" w:rsidR="00855A5C" w:rsidRDefault="00855A5C">
      <w:pPr>
        <w:pStyle w:val="Body"/>
        <w:jc w:val="center"/>
      </w:pPr>
    </w:p>
    <w:p w14:paraId="5DB0ED4E" w14:textId="77777777" w:rsidR="00855A5C" w:rsidRDefault="00855A5C">
      <w:pPr>
        <w:pStyle w:val="Body"/>
        <w:jc w:val="center"/>
      </w:pPr>
    </w:p>
    <w:p w14:paraId="678CC018" w14:textId="77777777" w:rsidR="00855A5C" w:rsidRDefault="00F833A3">
      <w:pPr>
        <w:pStyle w:val="Body"/>
        <w:jc w:val="center"/>
      </w:pPr>
      <w:r>
        <w:rPr>
          <w:noProof/>
          <w:lang w:val="fr-BE" w:eastAsia="fr-BE"/>
        </w:rPr>
        <w:drawing>
          <wp:inline distT="0" distB="0" distL="0" distR="0" wp14:anchorId="5EC63DF8" wp14:editId="764442BC">
            <wp:extent cx="3204211" cy="217043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3204211" cy="2170430"/>
                    </a:xfrm>
                    <a:prstGeom prst="rect">
                      <a:avLst/>
                    </a:prstGeom>
                    <a:ln w="12700" cap="flat">
                      <a:noFill/>
                      <a:miter lim="400000"/>
                    </a:ln>
                    <a:effectLst/>
                  </pic:spPr>
                </pic:pic>
              </a:graphicData>
            </a:graphic>
          </wp:inline>
        </w:drawing>
      </w:r>
    </w:p>
    <w:p w14:paraId="1DB2551A" w14:textId="77777777" w:rsidR="00855A5C" w:rsidRDefault="00855A5C">
      <w:pPr>
        <w:pStyle w:val="Body"/>
        <w:jc w:val="center"/>
      </w:pPr>
    </w:p>
    <w:p w14:paraId="5D778E00" w14:textId="77777777" w:rsidR="00855A5C" w:rsidRDefault="00855A5C">
      <w:pPr>
        <w:pStyle w:val="Body"/>
        <w:jc w:val="center"/>
      </w:pPr>
    </w:p>
    <w:p w14:paraId="4E8F81BF" w14:textId="77777777" w:rsidR="00855A5C" w:rsidRDefault="00855A5C">
      <w:pPr>
        <w:pStyle w:val="Body"/>
        <w:jc w:val="center"/>
        <w:rPr>
          <w:b/>
          <w:bCs/>
        </w:rPr>
      </w:pPr>
    </w:p>
    <w:p w14:paraId="72715DDE" w14:textId="77777777" w:rsidR="00855A5C" w:rsidRDefault="00855A5C">
      <w:pPr>
        <w:pStyle w:val="Body"/>
        <w:jc w:val="center"/>
        <w:rPr>
          <w:b/>
          <w:bCs/>
        </w:rPr>
      </w:pPr>
    </w:p>
    <w:p w14:paraId="022AF38E" w14:textId="77777777" w:rsidR="00855A5C" w:rsidRDefault="00F833A3">
      <w:pPr>
        <w:pStyle w:val="Body"/>
        <w:spacing w:after="320"/>
        <w:jc w:val="center"/>
        <w:rPr>
          <w:b/>
          <w:bCs/>
        </w:rPr>
      </w:pPr>
      <w:r>
        <w:rPr>
          <w:b/>
          <w:bCs/>
        </w:rPr>
        <w:t xml:space="preserve">Call for proposals </w:t>
      </w:r>
    </w:p>
    <w:p w14:paraId="44CE4343" w14:textId="77777777" w:rsidR="00855A5C" w:rsidRDefault="00855A5C">
      <w:pPr>
        <w:pStyle w:val="Body"/>
        <w:spacing w:after="320"/>
        <w:jc w:val="center"/>
        <w:rPr>
          <w:b/>
          <w:bCs/>
        </w:rPr>
      </w:pPr>
    </w:p>
    <w:p w14:paraId="37F72F6B" w14:textId="77777777" w:rsidR="00855A5C" w:rsidRDefault="00F833A3">
      <w:pPr>
        <w:pStyle w:val="Body"/>
        <w:jc w:val="center"/>
        <w:rPr>
          <w:b/>
          <w:bCs/>
        </w:rPr>
      </w:pPr>
      <w:r>
        <w:t xml:space="preserve">MOVE/C2/2022-54 "Technical Assistance for the development and collection of Road safety Key Performance Indicators (KPI)” </w:t>
      </w:r>
    </w:p>
    <w:p w14:paraId="20E2F0B1" w14:textId="77777777" w:rsidR="00855A5C" w:rsidRDefault="00855A5C">
      <w:pPr>
        <w:pStyle w:val="Body"/>
        <w:jc w:val="center"/>
        <w:rPr>
          <w:b/>
          <w:bCs/>
        </w:rPr>
      </w:pPr>
    </w:p>
    <w:p w14:paraId="3D388174" w14:textId="77777777" w:rsidR="00855A5C" w:rsidRDefault="00855A5C">
      <w:pPr>
        <w:pStyle w:val="Body"/>
        <w:jc w:val="center"/>
        <w:rPr>
          <w:b/>
          <w:bCs/>
        </w:rPr>
      </w:pPr>
    </w:p>
    <w:p w14:paraId="3BCB2019" w14:textId="77777777" w:rsidR="00855A5C" w:rsidRDefault="00855A5C">
      <w:pPr>
        <w:pStyle w:val="Body"/>
        <w:jc w:val="center"/>
        <w:rPr>
          <w:b/>
          <w:bCs/>
        </w:rPr>
      </w:pPr>
    </w:p>
    <w:p w14:paraId="7A9B3A91" w14:textId="7B9D3B1B" w:rsidR="00855A5C" w:rsidRDefault="00F833A3">
      <w:pPr>
        <w:pStyle w:val="Body"/>
        <w:spacing w:after="0"/>
        <w:jc w:val="center"/>
        <w:rPr>
          <w:b/>
          <w:bCs/>
        </w:rPr>
      </w:pPr>
      <w:r>
        <w:rPr>
          <w:b/>
          <w:bCs/>
        </w:rPr>
        <w:t>Version 1.0</w:t>
      </w:r>
    </w:p>
    <w:p w14:paraId="3022C490" w14:textId="1804B3EF" w:rsidR="00855A5C" w:rsidRDefault="00C60A9E">
      <w:pPr>
        <w:pStyle w:val="Body"/>
        <w:spacing w:after="0"/>
        <w:jc w:val="center"/>
        <w:sectPr w:rsidR="00855A5C">
          <w:headerReference w:type="even" r:id="rId9"/>
          <w:headerReference w:type="default" r:id="rId10"/>
          <w:footerReference w:type="even" r:id="rId11"/>
          <w:footerReference w:type="default" r:id="rId12"/>
          <w:headerReference w:type="first" r:id="rId13"/>
          <w:footerReference w:type="first" r:id="rId14"/>
          <w:pgSz w:w="11900" w:h="16840"/>
          <w:pgMar w:top="1560" w:right="1588" w:bottom="1276" w:left="1588" w:header="567" w:footer="737" w:gutter="0"/>
          <w:cols w:space="720"/>
          <w:titlePg/>
        </w:sectPr>
      </w:pPr>
      <w:r>
        <w:rPr>
          <w:b/>
          <w:bCs/>
        </w:rPr>
        <w:t>8 August 2022</w:t>
      </w:r>
    </w:p>
    <w:p w14:paraId="40DB93C4" w14:textId="77777777" w:rsidR="00855A5C" w:rsidRDefault="00855A5C">
      <w:pPr>
        <w:pStyle w:val="Body"/>
        <w:spacing w:after="0"/>
        <w:jc w:val="center"/>
      </w:pPr>
    </w:p>
    <w:p w14:paraId="42C09CAC" w14:textId="77777777" w:rsidR="00855A5C" w:rsidRDefault="00855A5C">
      <w:pPr>
        <w:pStyle w:val="Body"/>
        <w:spacing w:after="0" w:line="276" w:lineRule="auto"/>
        <w:ind w:left="357"/>
        <w:jc w:val="center"/>
      </w:pPr>
    </w:p>
    <w:p w14:paraId="72473D7C" w14:textId="77777777" w:rsidR="00855A5C" w:rsidRDefault="00855A5C">
      <w:pPr>
        <w:pStyle w:val="Body"/>
        <w:spacing w:after="0"/>
      </w:pPr>
    </w:p>
    <w:tbl>
      <w:tblPr>
        <w:tblW w:w="100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5"/>
        <w:gridCol w:w="1350"/>
        <w:gridCol w:w="6000"/>
        <w:gridCol w:w="1733"/>
      </w:tblGrid>
      <w:tr w:rsidR="00855A5C" w14:paraId="799FDAB0" w14:textId="77777777">
        <w:trPr>
          <w:trHeight w:val="250"/>
          <w:jc w:val="center"/>
        </w:trPr>
        <w:tc>
          <w:tcPr>
            <w:tcW w:w="10058" w:type="dxa"/>
            <w:gridSpan w:val="4"/>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320EB76F" w14:textId="77777777" w:rsidR="00855A5C" w:rsidRDefault="00F833A3">
            <w:pPr>
              <w:pStyle w:val="Body"/>
              <w:spacing w:before="160" w:after="160"/>
              <w:jc w:val="center"/>
            </w:pPr>
            <w:r>
              <w:rPr>
                <w:b/>
                <w:bCs/>
                <w:color w:val="595959"/>
                <w:u w:color="595959"/>
              </w:rPr>
              <w:t>HISTORY OF CHANGES</w:t>
            </w:r>
          </w:p>
        </w:tc>
      </w:tr>
      <w:tr w:rsidR="00855A5C" w14:paraId="2755AEAA" w14:textId="77777777">
        <w:trPr>
          <w:trHeight w:val="490"/>
          <w:jc w:val="center"/>
        </w:trPr>
        <w:tc>
          <w:tcPr>
            <w:tcW w:w="975"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04958914" w14:textId="77777777" w:rsidR="00855A5C" w:rsidRDefault="00F833A3">
            <w:pPr>
              <w:pStyle w:val="Body"/>
              <w:spacing w:before="60" w:after="60"/>
              <w:jc w:val="center"/>
            </w:pPr>
            <w:r>
              <w:rPr>
                <w:b/>
                <w:bCs/>
                <w:color w:val="595959"/>
                <w:u w:color="595959"/>
              </w:rPr>
              <w:t>Version</w:t>
            </w:r>
          </w:p>
        </w:tc>
        <w:tc>
          <w:tcPr>
            <w:tcW w:w="13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77B8708C" w14:textId="77777777" w:rsidR="00855A5C" w:rsidRDefault="00F833A3">
            <w:pPr>
              <w:pStyle w:val="Body"/>
              <w:keepNext/>
              <w:tabs>
                <w:tab w:val="right" w:pos="8704"/>
              </w:tabs>
              <w:spacing w:before="60" w:after="60"/>
              <w:jc w:val="center"/>
              <w:outlineLvl w:val="1"/>
            </w:pPr>
            <w:r>
              <w:rPr>
                <w:b/>
                <w:bCs/>
                <w:color w:val="595959"/>
                <w:u w:color="595959"/>
              </w:rPr>
              <w:t>Publication Date</w:t>
            </w:r>
          </w:p>
        </w:tc>
        <w:tc>
          <w:tcPr>
            <w:tcW w:w="600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79C2921B" w14:textId="77777777" w:rsidR="00855A5C" w:rsidRDefault="00F833A3">
            <w:pPr>
              <w:pStyle w:val="Body"/>
              <w:keepNext/>
              <w:tabs>
                <w:tab w:val="right" w:pos="8704"/>
              </w:tabs>
              <w:spacing w:before="60" w:after="60"/>
              <w:jc w:val="center"/>
              <w:outlineLvl w:val="1"/>
            </w:pPr>
            <w:r>
              <w:rPr>
                <w:b/>
                <w:bCs/>
                <w:color w:val="595959"/>
                <w:u w:color="595959"/>
              </w:rPr>
              <w:t>Change</w:t>
            </w:r>
          </w:p>
        </w:tc>
        <w:tc>
          <w:tcPr>
            <w:tcW w:w="1733"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386C21B3" w14:textId="77777777" w:rsidR="00855A5C" w:rsidRDefault="00F833A3">
            <w:pPr>
              <w:pStyle w:val="Body"/>
              <w:spacing w:before="60" w:after="60"/>
              <w:jc w:val="center"/>
            </w:pPr>
            <w:r>
              <w:rPr>
                <w:b/>
                <w:bCs/>
                <w:color w:val="595959"/>
                <w:u w:color="595959"/>
              </w:rPr>
              <w:t>Pages</w:t>
            </w:r>
          </w:p>
        </w:tc>
      </w:tr>
      <w:tr w:rsidR="00855A5C" w14:paraId="1CDDF98B" w14:textId="77777777">
        <w:trPr>
          <w:trHeight w:val="250"/>
          <w:jc w:val="center"/>
        </w:trPr>
        <w:tc>
          <w:tcPr>
            <w:tcW w:w="975"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1D1A730C" w14:textId="6B485BE2" w:rsidR="00855A5C" w:rsidRDefault="00F833A3" w:rsidP="00C60A9E">
            <w:pPr>
              <w:pStyle w:val="Body"/>
              <w:spacing w:before="60" w:after="60"/>
              <w:jc w:val="center"/>
            </w:pPr>
            <w:r>
              <w:rPr>
                <w:color w:val="595959"/>
                <w:u w:color="595959"/>
              </w:rPr>
              <w:t>1.0</w:t>
            </w:r>
            <w:r w:rsidR="00C60A9E">
              <w:rPr>
                <w:color w:val="595959"/>
                <w:u w:color="595959"/>
              </w:rPr>
              <w:t xml:space="preserve"> </w:t>
            </w:r>
          </w:p>
        </w:tc>
        <w:tc>
          <w:tcPr>
            <w:tcW w:w="13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1ABC4B2F" w14:textId="2BED06AA" w:rsidR="00855A5C" w:rsidRDefault="00C60A9E">
            <w:pPr>
              <w:pStyle w:val="Body"/>
              <w:keepNext/>
              <w:tabs>
                <w:tab w:val="right" w:pos="8704"/>
              </w:tabs>
              <w:spacing w:before="60" w:after="60"/>
              <w:jc w:val="center"/>
              <w:outlineLvl w:val="1"/>
            </w:pPr>
            <w:r>
              <w:rPr>
                <w:color w:val="595959"/>
                <w:u w:color="595959"/>
              </w:rPr>
              <w:t>08.08.2022</w:t>
            </w:r>
          </w:p>
        </w:tc>
        <w:tc>
          <w:tcPr>
            <w:tcW w:w="600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449D09EA" w14:textId="77777777" w:rsidR="00855A5C" w:rsidRDefault="00F833A3">
            <w:pPr>
              <w:pStyle w:val="Body"/>
              <w:keepNext/>
              <w:numPr>
                <w:ilvl w:val="0"/>
                <w:numId w:val="1"/>
              </w:numPr>
              <w:spacing w:before="60" w:after="60"/>
              <w:outlineLvl w:val="1"/>
              <w:rPr>
                <w:color w:val="595959"/>
                <w:u w:color="595959"/>
              </w:rPr>
            </w:pPr>
            <w:r>
              <w:rPr>
                <w:color w:val="595959"/>
                <w:u w:color="595959"/>
              </w:rPr>
              <w:t>Initial version (new MFF).</w:t>
            </w:r>
          </w:p>
        </w:tc>
        <w:tc>
          <w:tcPr>
            <w:tcW w:w="1733"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5792268E" w14:textId="77777777" w:rsidR="00855A5C" w:rsidRDefault="00855A5C"/>
        </w:tc>
      </w:tr>
      <w:tr w:rsidR="00855A5C" w14:paraId="29A9F170" w14:textId="77777777">
        <w:trPr>
          <w:trHeight w:val="250"/>
          <w:jc w:val="center"/>
        </w:trPr>
        <w:tc>
          <w:tcPr>
            <w:tcW w:w="975"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0ABB08D0" w14:textId="77777777" w:rsidR="00855A5C" w:rsidRDefault="00855A5C"/>
        </w:tc>
        <w:tc>
          <w:tcPr>
            <w:tcW w:w="13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444DD9B2" w14:textId="676A7CEF" w:rsidR="00855A5C" w:rsidRDefault="00855A5C"/>
        </w:tc>
        <w:tc>
          <w:tcPr>
            <w:tcW w:w="600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79A55C19" w14:textId="77777777" w:rsidR="00855A5C" w:rsidRDefault="00855A5C"/>
        </w:tc>
        <w:tc>
          <w:tcPr>
            <w:tcW w:w="1733"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57CB3480" w14:textId="77777777" w:rsidR="00855A5C" w:rsidRDefault="00855A5C"/>
        </w:tc>
      </w:tr>
      <w:tr w:rsidR="00855A5C" w14:paraId="1CCDD514" w14:textId="77777777">
        <w:trPr>
          <w:trHeight w:val="250"/>
          <w:jc w:val="center"/>
        </w:trPr>
        <w:tc>
          <w:tcPr>
            <w:tcW w:w="975"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77A00E7B" w14:textId="77777777" w:rsidR="00855A5C" w:rsidRDefault="00855A5C"/>
        </w:tc>
        <w:tc>
          <w:tcPr>
            <w:tcW w:w="13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525878BF" w14:textId="77777777" w:rsidR="00855A5C" w:rsidRDefault="00855A5C"/>
        </w:tc>
        <w:tc>
          <w:tcPr>
            <w:tcW w:w="600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271D1F2A" w14:textId="77777777" w:rsidR="00855A5C" w:rsidRDefault="00855A5C"/>
        </w:tc>
        <w:tc>
          <w:tcPr>
            <w:tcW w:w="1733"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234157B1" w14:textId="77777777" w:rsidR="00855A5C" w:rsidRDefault="00855A5C"/>
        </w:tc>
      </w:tr>
      <w:tr w:rsidR="00855A5C" w14:paraId="780720EF" w14:textId="77777777">
        <w:trPr>
          <w:trHeight w:val="250"/>
          <w:jc w:val="center"/>
        </w:trPr>
        <w:tc>
          <w:tcPr>
            <w:tcW w:w="975"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1F742773" w14:textId="77777777" w:rsidR="00855A5C" w:rsidRDefault="00855A5C"/>
        </w:tc>
        <w:tc>
          <w:tcPr>
            <w:tcW w:w="13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461A2FAF" w14:textId="77777777" w:rsidR="00855A5C" w:rsidRDefault="00855A5C"/>
        </w:tc>
        <w:tc>
          <w:tcPr>
            <w:tcW w:w="600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14:paraId="75A41C4C" w14:textId="77777777" w:rsidR="00855A5C" w:rsidRDefault="00855A5C"/>
        </w:tc>
        <w:tc>
          <w:tcPr>
            <w:tcW w:w="1733"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33DE73A4" w14:textId="77777777" w:rsidR="00855A5C" w:rsidRDefault="00855A5C"/>
        </w:tc>
      </w:tr>
    </w:tbl>
    <w:p w14:paraId="4487602B" w14:textId="77777777" w:rsidR="00855A5C" w:rsidRDefault="00855A5C">
      <w:pPr>
        <w:pStyle w:val="Body"/>
        <w:widowControl w:val="0"/>
        <w:spacing w:after="0"/>
        <w:jc w:val="center"/>
      </w:pPr>
    </w:p>
    <w:p w14:paraId="18812877" w14:textId="77777777" w:rsidR="00855A5C" w:rsidRDefault="00855A5C">
      <w:pPr>
        <w:pStyle w:val="Body"/>
        <w:spacing w:after="0"/>
      </w:pPr>
    </w:p>
    <w:p w14:paraId="2DFA24B7" w14:textId="77777777" w:rsidR="00855A5C" w:rsidRDefault="00F833A3">
      <w:pPr>
        <w:pStyle w:val="Body"/>
        <w:spacing w:after="0"/>
        <w:jc w:val="center"/>
      </w:pPr>
      <w:r>
        <w:rPr>
          <w:rFonts w:ascii="Arial Unicode MS" w:hAnsi="Arial Unicode MS"/>
        </w:rPr>
        <w:br w:type="page"/>
      </w:r>
    </w:p>
    <w:tbl>
      <w:tblPr>
        <w:tblW w:w="94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9"/>
        <w:gridCol w:w="7186"/>
      </w:tblGrid>
      <w:tr w:rsidR="00855A5C" w14:paraId="0DE93824" w14:textId="77777777">
        <w:trPr>
          <w:trHeight w:val="1440"/>
          <w:jc w:val="center"/>
        </w:trPr>
        <w:tc>
          <w:tcPr>
            <w:tcW w:w="2279" w:type="dxa"/>
            <w:tcBorders>
              <w:top w:val="nil"/>
              <w:left w:val="nil"/>
              <w:bottom w:val="nil"/>
              <w:right w:val="nil"/>
            </w:tcBorders>
            <w:shd w:val="clear" w:color="auto" w:fill="auto"/>
            <w:tcMar>
              <w:top w:w="80" w:type="dxa"/>
              <w:left w:w="80" w:type="dxa"/>
              <w:bottom w:w="80" w:type="dxa"/>
              <w:right w:w="80" w:type="dxa"/>
            </w:tcMar>
          </w:tcPr>
          <w:p w14:paraId="705F3EE5" w14:textId="77777777" w:rsidR="00855A5C" w:rsidRDefault="00855A5C">
            <w:pPr>
              <w:pStyle w:val="Body"/>
              <w:rPr>
                <w:b/>
                <w:bCs/>
              </w:rPr>
            </w:pPr>
          </w:p>
          <w:p w14:paraId="10FCBCCC" w14:textId="77777777" w:rsidR="00855A5C" w:rsidRDefault="00F833A3">
            <w:pPr>
              <w:pStyle w:val="Body"/>
              <w:spacing w:after="0"/>
              <w:jc w:val="center"/>
            </w:pPr>
            <w:r>
              <w:rPr>
                <w:noProof/>
                <w:lang w:val="fr-BE" w:eastAsia="fr-BE"/>
              </w:rPr>
              <w:drawing>
                <wp:inline distT="0" distB="0" distL="0" distR="0" wp14:anchorId="33C12454" wp14:editId="139B7213">
                  <wp:extent cx="1232142" cy="58747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5"/>
                          <a:stretch>
                            <a:fillRect/>
                          </a:stretch>
                        </pic:blipFill>
                        <pic:spPr>
                          <a:xfrm>
                            <a:off x="0" y="0"/>
                            <a:ext cx="1232142" cy="587470"/>
                          </a:xfrm>
                          <a:prstGeom prst="rect">
                            <a:avLst/>
                          </a:prstGeom>
                          <a:ln w="12700" cap="flat">
                            <a:noFill/>
                            <a:miter lim="400000"/>
                          </a:ln>
                          <a:effectLst/>
                        </pic:spPr>
                      </pic:pic>
                    </a:graphicData>
                  </a:graphic>
                </wp:inline>
              </w:drawing>
            </w:r>
            <w:r>
              <w:rPr>
                <w:b/>
                <w:bCs/>
              </w:rPr>
              <w:t xml:space="preserve"> </w:t>
            </w:r>
          </w:p>
        </w:tc>
        <w:tc>
          <w:tcPr>
            <w:tcW w:w="7186" w:type="dxa"/>
            <w:tcBorders>
              <w:top w:val="nil"/>
              <w:left w:val="nil"/>
              <w:bottom w:val="nil"/>
              <w:right w:val="nil"/>
            </w:tcBorders>
            <w:shd w:val="clear" w:color="auto" w:fill="auto"/>
            <w:tcMar>
              <w:top w:w="80" w:type="dxa"/>
              <w:left w:w="80" w:type="dxa"/>
              <w:bottom w:w="80" w:type="dxa"/>
              <w:right w:w="165" w:type="dxa"/>
            </w:tcMar>
          </w:tcPr>
          <w:p w14:paraId="4AE39D46" w14:textId="77777777" w:rsidR="00855A5C" w:rsidRDefault="00855A5C">
            <w:pPr>
              <w:pStyle w:val="Body"/>
              <w:widowControl w:val="0"/>
              <w:spacing w:after="0"/>
              <w:ind w:right="85"/>
            </w:pPr>
          </w:p>
          <w:p w14:paraId="191564FE" w14:textId="77777777" w:rsidR="00855A5C" w:rsidRDefault="00F833A3">
            <w:pPr>
              <w:pStyle w:val="Body"/>
              <w:spacing w:after="0"/>
              <w:ind w:right="85"/>
              <w:jc w:val="left"/>
            </w:pPr>
            <w:r>
              <w:t>DG MOVE</w:t>
            </w:r>
          </w:p>
          <w:p w14:paraId="64D02097" w14:textId="77777777" w:rsidR="00855A5C" w:rsidRDefault="00855A5C">
            <w:pPr>
              <w:pStyle w:val="Body"/>
              <w:spacing w:after="0"/>
              <w:ind w:right="85"/>
            </w:pPr>
          </w:p>
          <w:p w14:paraId="1F7F232A" w14:textId="77777777" w:rsidR="00855A5C" w:rsidRDefault="00F833A3">
            <w:pPr>
              <w:pStyle w:val="Body"/>
              <w:spacing w:after="0"/>
              <w:rPr>
                <w:b/>
                <w:bCs/>
              </w:rPr>
            </w:pPr>
            <w:r>
              <w:rPr>
                <w:b/>
                <w:bCs/>
              </w:rPr>
              <w:t xml:space="preserve">DIRECTORATE GENERAL FOR MOBILITY AND TRANSPORT </w:t>
            </w:r>
          </w:p>
          <w:p w14:paraId="6B74C1B8" w14:textId="77777777" w:rsidR="00855A5C" w:rsidRDefault="00F833A3">
            <w:pPr>
              <w:pStyle w:val="Body"/>
              <w:spacing w:after="0"/>
              <w:rPr>
                <w:b/>
                <w:bCs/>
              </w:rPr>
            </w:pPr>
            <w:r>
              <w:rPr>
                <w:b/>
                <w:bCs/>
              </w:rPr>
              <w:t>Land Transport Directorate</w:t>
            </w:r>
          </w:p>
          <w:p w14:paraId="7938AA46" w14:textId="77777777" w:rsidR="00855A5C" w:rsidRDefault="00F833A3">
            <w:pPr>
              <w:pStyle w:val="Body"/>
              <w:spacing w:after="0"/>
            </w:pPr>
            <w:r>
              <w:rPr>
                <w:b/>
                <w:bCs/>
              </w:rPr>
              <w:t>UNIT  C2 – Road Safety Unit</w:t>
            </w:r>
          </w:p>
        </w:tc>
      </w:tr>
    </w:tbl>
    <w:p w14:paraId="471B8888" w14:textId="77777777" w:rsidR="00855A5C" w:rsidRDefault="00855A5C">
      <w:pPr>
        <w:pStyle w:val="BodyText"/>
        <w:spacing w:before="8"/>
        <w:jc w:val="center"/>
      </w:pPr>
    </w:p>
    <w:p w14:paraId="06519FE1" w14:textId="77777777" w:rsidR="00855A5C" w:rsidRDefault="00855A5C">
      <w:pPr>
        <w:pStyle w:val="BodyText"/>
        <w:spacing w:before="8"/>
        <w:jc w:val="center"/>
      </w:pPr>
    </w:p>
    <w:p w14:paraId="046F1F62" w14:textId="77777777" w:rsidR="00855A5C" w:rsidRDefault="00855A5C">
      <w:pPr>
        <w:pStyle w:val="BodyText"/>
        <w:spacing w:before="8"/>
        <w:jc w:val="center"/>
      </w:pPr>
    </w:p>
    <w:p w14:paraId="36139F42" w14:textId="77777777" w:rsidR="00855A5C" w:rsidRDefault="00F833A3">
      <w:pPr>
        <w:pStyle w:val="BodyText"/>
        <w:spacing w:before="8"/>
        <w:jc w:val="center"/>
        <w:rPr>
          <w:b/>
          <w:bCs/>
        </w:rPr>
      </w:pPr>
      <w:r>
        <w:rPr>
          <w:b/>
          <w:bCs/>
        </w:rPr>
        <w:t xml:space="preserve">CALL FOR PROPOSALS </w:t>
      </w:r>
    </w:p>
    <w:p w14:paraId="29D18AB5" w14:textId="77777777" w:rsidR="00855A5C" w:rsidRDefault="00855A5C">
      <w:pPr>
        <w:pStyle w:val="Body"/>
        <w:widowControl w:val="0"/>
      </w:pPr>
    </w:p>
    <w:p w14:paraId="66C31286" w14:textId="77777777" w:rsidR="00855A5C" w:rsidRDefault="00855A5C">
      <w:pPr>
        <w:pStyle w:val="Body"/>
        <w:widowControl w:val="0"/>
      </w:pPr>
    </w:p>
    <w:p w14:paraId="64AA9789" w14:textId="77777777" w:rsidR="00855A5C" w:rsidRDefault="00F833A3">
      <w:pPr>
        <w:pStyle w:val="Body"/>
        <w:jc w:val="left"/>
        <w:rPr>
          <w:b/>
          <w:bCs/>
          <w:color w:val="A50021"/>
          <w:u w:color="A50021"/>
        </w:rPr>
      </w:pPr>
      <w:r>
        <w:rPr>
          <w:b/>
          <w:bCs/>
          <w:color w:val="A50021"/>
          <w:u w:color="A50021"/>
        </w:rPr>
        <w:t>TABLE OF CONTENTS</w:t>
      </w:r>
    </w:p>
    <w:p w14:paraId="2CF800F3" w14:textId="0184207F" w:rsidR="00C60A9E" w:rsidRPr="00C60A9E" w:rsidRDefault="00F833A3">
      <w:pPr>
        <w:pStyle w:val="TOC1"/>
        <w:rPr>
          <w:rFonts w:asciiTheme="minorHAnsi" w:eastAsiaTheme="minorEastAsia" w:hAnsiTheme="minorHAnsi" w:cstheme="minorBidi"/>
          <w:noProof/>
          <w:color w:val="auto"/>
          <w:sz w:val="22"/>
          <w:szCs w:val="22"/>
          <w:bdr w:val="none" w:sz="0" w:space="0" w:color="auto"/>
          <w:lang w:val="en-IE" w:eastAsia="fr-BE"/>
        </w:rPr>
      </w:pPr>
      <w:r>
        <w:rPr>
          <w:rFonts w:cs="Arial Unicode MS"/>
          <w:b/>
          <w:bCs/>
          <w:color w:val="A50021"/>
          <w:sz w:val="20"/>
          <w:szCs w:val="20"/>
          <w:u w:color="A50021"/>
          <w14:textOutline w14:w="0" w14:cap="flat" w14:cmpd="sng" w14:algn="ctr">
            <w14:noFill/>
            <w14:prstDash w14:val="solid"/>
            <w14:bevel/>
          </w14:textOutline>
        </w:rPr>
        <w:fldChar w:fldCharType="begin"/>
      </w:r>
      <w:r>
        <w:rPr>
          <w:b/>
          <w:bCs/>
          <w:color w:val="A50021"/>
          <w:u w:color="A50021"/>
        </w:rPr>
        <w:instrText xml:space="preserve"> TOC \o 1-1 \t "Heading 3, 2"</w:instrText>
      </w:r>
      <w:r>
        <w:rPr>
          <w:rFonts w:cs="Arial Unicode MS"/>
          <w:b/>
          <w:bCs/>
          <w:color w:val="A50021"/>
          <w:sz w:val="20"/>
          <w:szCs w:val="20"/>
          <w:u w:color="A50021"/>
          <w14:textOutline w14:w="0" w14:cap="flat" w14:cmpd="sng" w14:algn="ctr">
            <w14:noFill/>
            <w14:prstDash w14:val="solid"/>
            <w14:bevel/>
          </w14:textOutline>
        </w:rPr>
        <w:fldChar w:fldCharType="separate"/>
      </w:r>
      <w:r w:rsidR="00C60A9E" w:rsidRPr="0056232D">
        <w:rPr>
          <w:rFonts w:eastAsia="Arial Unicode MS" w:cs="Arial Unicode MS"/>
          <w:noProof/>
          <w:lang w:val="en-IE"/>
        </w:rPr>
        <w:t>0. Introduction</w:t>
      </w:r>
      <w:r w:rsidR="00C60A9E">
        <w:rPr>
          <w:noProof/>
        </w:rPr>
        <w:tab/>
      </w:r>
      <w:r w:rsidR="00C60A9E">
        <w:rPr>
          <w:noProof/>
        </w:rPr>
        <w:fldChar w:fldCharType="begin"/>
      </w:r>
      <w:r w:rsidR="00C60A9E">
        <w:rPr>
          <w:noProof/>
        </w:rPr>
        <w:instrText xml:space="preserve"> PAGEREF _Toc110874537 \h </w:instrText>
      </w:r>
      <w:r w:rsidR="00C60A9E">
        <w:rPr>
          <w:noProof/>
        </w:rPr>
      </w:r>
      <w:r w:rsidR="00C60A9E">
        <w:rPr>
          <w:noProof/>
        </w:rPr>
        <w:fldChar w:fldCharType="separate"/>
      </w:r>
      <w:r w:rsidR="00C60A9E">
        <w:rPr>
          <w:noProof/>
        </w:rPr>
        <w:t>3</w:t>
      </w:r>
      <w:r w:rsidR="00C60A9E">
        <w:rPr>
          <w:noProof/>
        </w:rPr>
        <w:fldChar w:fldCharType="end"/>
      </w:r>
    </w:p>
    <w:p w14:paraId="41492F36" w14:textId="570F45C9"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1. Background</w:t>
      </w:r>
      <w:r>
        <w:rPr>
          <w:noProof/>
        </w:rPr>
        <w:tab/>
      </w:r>
      <w:r>
        <w:rPr>
          <w:noProof/>
        </w:rPr>
        <w:fldChar w:fldCharType="begin"/>
      </w:r>
      <w:r>
        <w:rPr>
          <w:noProof/>
        </w:rPr>
        <w:instrText xml:space="preserve"> PAGEREF _Toc110874538 \h </w:instrText>
      </w:r>
      <w:r>
        <w:rPr>
          <w:noProof/>
        </w:rPr>
      </w:r>
      <w:r>
        <w:rPr>
          <w:noProof/>
        </w:rPr>
        <w:fldChar w:fldCharType="separate"/>
      </w:r>
      <w:r>
        <w:rPr>
          <w:noProof/>
        </w:rPr>
        <w:t>4</w:t>
      </w:r>
      <w:r>
        <w:rPr>
          <w:noProof/>
        </w:rPr>
        <w:fldChar w:fldCharType="end"/>
      </w:r>
    </w:p>
    <w:p w14:paraId="2FA508A7" w14:textId="337CDE33"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lang w:val="en-IE"/>
        </w:rPr>
        <w:t xml:space="preserve">2. Objectives </w:t>
      </w:r>
      <w:r w:rsidRPr="0056232D">
        <w:rPr>
          <w:rFonts w:eastAsia="Arial Unicode MS" w:cs="Arial Unicode MS"/>
          <w:noProof/>
        </w:rPr>
        <w:t>— Themes and priorities — Activities that can be funded — Expected impact</w:t>
      </w:r>
      <w:r>
        <w:rPr>
          <w:noProof/>
        </w:rPr>
        <w:tab/>
      </w:r>
      <w:r>
        <w:rPr>
          <w:noProof/>
        </w:rPr>
        <w:fldChar w:fldCharType="begin"/>
      </w:r>
      <w:r>
        <w:rPr>
          <w:noProof/>
        </w:rPr>
        <w:instrText xml:space="preserve"> PAGEREF _Toc110874539 \h </w:instrText>
      </w:r>
      <w:r>
        <w:rPr>
          <w:noProof/>
        </w:rPr>
      </w:r>
      <w:r>
        <w:rPr>
          <w:noProof/>
        </w:rPr>
        <w:fldChar w:fldCharType="separate"/>
      </w:r>
      <w:r>
        <w:rPr>
          <w:noProof/>
        </w:rPr>
        <w:t>4</w:t>
      </w:r>
      <w:r>
        <w:rPr>
          <w:noProof/>
        </w:rPr>
        <w:fldChar w:fldCharType="end"/>
      </w:r>
    </w:p>
    <w:p w14:paraId="6949C6EE" w14:textId="49EA5B7C"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3. Available budget</w:t>
      </w:r>
      <w:r>
        <w:rPr>
          <w:noProof/>
        </w:rPr>
        <w:tab/>
      </w:r>
      <w:r>
        <w:rPr>
          <w:noProof/>
        </w:rPr>
        <w:fldChar w:fldCharType="begin"/>
      </w:r>
      <w:r>
        <w:rPr>
          <w:noProof/>
        </w:rPr>
        <w:instrText xml:space="preserve"> PAGEREF _Toc110874540 \h </w:instrText>
      </w:r>
      <w:r>
        <w:rPr>
          <w:noProof/>
        </w:rPr>
      </w:r>
      <w:r>
        <w:rPr>
          <w:noProof/>
        </w:rPr>
        <w:fldChar w:fldCharType="separate"/>
      </w:r>
      <w:r>
        <w:rPr>
          <w:noProof/>
        </w:rPr>
        <w:t>5</w:t>
      </w:r>
      <w:r>
        <w:rPr>
          <w:noProof/>
        </w:rPr>
        <w:fldChar w:fldCharType="end"/>
      </w:r>
    </w:p>
    <w:p w14:paraId="4E61979D" w14:textId="6AE2B41E"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4. Timetable and deadlines</w:t>
      </w:r>
      <w:r>
        <w:rPr>
          <w:noProof/>
        </w:rPr>
        <w:tab/>
      </w:r>
      <w:r>
        <w:rPr>
          <w:noProof/>
        </w:rPr>
        <w:fldChar w:fldCharType="begin"/>
      </w:r>
      <w:r>
        <w:rPr>
          <w:noProof/>
        </w:rPr>
        <w:instrText xml:space="preserve"> PAGEREF _Toc110874541 \h </w:instrText>
      </w:r>
      <w:r>
        <w:rPr>
          <w:noProof/>
        </w:rPr>
      </w:r>
      <w:r>
        <w:rPr>
          <w:noProof/>
        </w:rPr>
        <w:fldChar w:fldCharType="separate"/>
      </w:r>
      <w:r>
        <w:rPr>
          <w:noProof/>
        </w:rPr>
        <w:t>5</w:t>
      </w:r>
      <w:r>
        <w:rPr>
          <w:noProof/>
        </w:rPr>
        <w:fldChar w:fldCharType="end"/>
      </w:r>
    </w:p>
    <w:p w14:paraId="1102453E" w14:textId="049C6E31"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5. Admissibility and documents</w:t>
      </w:r>
      <w:r>
        <w:rPr>
          <w:noProof/>
        </w:rPr>
        <w:tab/>
      </w:r>
      <w:r>
        <w:rPr>
          <w:noProof/>
        </w:rPr>
        <w:fldChar w:fldCharType="begin"/>
      </w:r>
      <w:r>
        <w:rPr>
          <w:noProof/>
        </w:rPr>
        <w:instrText xml:space="preserve"> PAGEREF _Toc110874542 \h </w:instrText>
      </w:r>
      <w:r>
        <w:rPr>
          <w:noProof/>
        </w:rPr>
      </w:r>
      <w:r>
        <w:rPr>
          <w:noProof/>
        </w:rPr>
        <w:fldChar w:fldCharType="separate"/>
      </w:r>
      <w:r>
        <w:rPr>
          <w:noProof/>
        </w:rPr>
        <w:t>6</w:t>
      </w:r>
      <w:r>
        <w:rPr>
          <w:noProof/>
        </w:rPr>
        <w:fldChar w:fldCharType="end"/>
      </w:r>
    </w:p>
    <w:p w14:paraId="1F2721E2" w14:textId="54A563BC"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6. Eligibility</w:t>
      </w:r>
      <w:r>
        <w:rPr>
          <w:noProof/>
        </w:rPr>
        <w:tab/>
      </w:r>
      <w:r>
        <w:rPr>
          <w:noProof/>
        </w:rPr>
        <w:fldChar w:fldCharType="begin"/>
      </w:r>
      <w:r>
        <w:rPr>
          <w:noProof/>
        </w:rPr>
        <w:instrText xml:space="preserve"> PAGEREF _Toc110874543 \h </w:instrText>
      </w:r>
      <w:r>
        <w:rPr>
          <w:noProof/>
        </w:rPr>
      </w:r>
      <w:r>
        <w:rPr>
          <w:noProof/>
        </w:rPr>
        <w:fldChar w:fldCharType="separate"/>
      </w:r>
      <w:r>
        <w:rPr>
          <w:noProof/>
        </w:rPr>
        <w:t>6</w:t>
      </w:r>
      <w:r>
        <w:rPr>
          <w:noProof/>
        </w:rPr>
        <w:fldChar w:fldCharType="end"/>
      </w:r>
    </w:p>
    <w:p w14:paraId="3B4BA415" w14:textId="0148FF72"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7. Financial and operational capacity and exclusion</w:t>
      </w:r>
      <w:r>
        <w:rPr>
          <w:noProof/>
        </w:rPr>
        <w:tab/>
      </w:r>
      <w:r>
        <w:rPr>
          <w:noProof/>
        </w:rPr>
        <w:fldChar w:fldCharType="begin"/>
      </w:r>
      <w:r>
        <w:rPr>
          <w:noProof/>
        </w:rPr>
        <w:instrText xml:space="preserve"> PAGEREF _Toc110874544 \h </w:instrText>
      </w:r>
      <w:r>
        <w:rPr>
          <w:noProof/>
        </w:rPr>
      </w:r>
      <w:r>
        <w:rPr>
          <w:noProof/>
        </w:rPr>
        <w:fldChar w:fldCharType="separate"/>
      </w:r>
      <w:r>
        <w:rPr>
          <w:noProof/>
        </w:rPr>
        <w:t>7</w:t>
      </w:r>
      <w:r>
        <w:rPr>
          <w:noProof/>
        </w:rPr>
        <w:fldChar w:fldCharType="end"/>
      </w:r>
    </w:p>
    <w:p w14:paraId="5FE29052" w14:textId="6385D48C"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8. Evaluation and award procedure</w:t>
      </w:r>
      <w:r>
        <w:rPr>
          <w:noProof/>
        </w:rPr>
        <w:tab/>
      </w:r>
      <w:r>
        <w:rPr>
          <w:noProof/>
        </w:rPr>
        <w:fldChar w:fldCharType="begin"/>
      </w:r>
      <w:r>
        <w:rPr>
          <w:noProof/>
        </w:rPr>
        <w:instrText xml:space="preserve"> PAGEREF _Toc110874545 \h </w:instrText>
      </w:r>
      <w:r>
        <w:rPr>
          <w:noProof/>
        </w:rPr>
      </w:r>
      <w:r>
        <w:rPr>
          <w:noProof/>
        </w:rPr>
        <w:fldChar w:fldCharType="separate"/>
      </w:r>
      <w:r>
        <w:rPr>
          <w:noProof/>
        </w:rPr>
        <w:t>9</w:t>
      </w:r>
      <w:r>
        <w:rPr>
          <w:noProof/>
        </w:rPr>
        <w:fldChar w:fldCharType="end"/>
      </w:r>
    </w:p>
    <w:p w14:paraId="11C779B3" w14:textId="2BD038E4"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9. Award criteria</w:t>
      </w:r>
      <w:r>
        <w:rPr>
          <w:noProof/>
        </w:rPr>
        <w:tab/>
      </w:r>
      <w:r>
        <w:rPr>
          <w:noProof/>
        </w:rPr>
        <w:fldChar w:fldCharType="begin"/>
      </w:r>
      <w:r>
        <w:rPr>
          <w:noProof/>
        </w:rPr>
        <w:instrText xml:space="preserve"> PAGEREF _Toc110874546 \h </w:instrText>
      </w:r>
      <w:r>
        <w:rPr>
          <w:noProof/>
        </w:rPr>
      </w:r>
      <w:r>
        <w:rPr>
          <w:noProof/>
        </w:rPr>
        <w:fldChar w:fldCharType="separate"/>
      </w:r>
      <w:r>
        <w:rPr>
          <w:noProof/>
        </w:rPr>
        <w:t>10</w:t>
      </w:r>
      <w:r>
        <w:rPr>
          <w:noProof/>
        </w:rPr>
        <w:fldChar w:fldCharType="end"/>
      </w:r>
    </w:p>
    <w:p w14:paraId="2C948EB0" w14:textId="0DD16B57"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10. Legal and financial set-up of the Grant Agreements</w:t>
      </w:r>
      <w:r>
        <w:rPr>
          <w:noProof/>
        </w:rPr>
        <w:tab/>
      </w:r>
      <w:r>
        <w:rPr>
          <w:noProof/>
        </w:rPr>
        <w:fldChar w:fldCharType="begin"/>
      </w:r>
      <w:r>
        <w:rPr>
          <w:noProof/>
        </w:rPr>
        <w:instrText xml:space="preserve"> PAGEREF _Toc110874547 \h </w:instrText>
      </w:r>
      <w:r>
        <w:rPr>
          <w:noProof/>
        </w:rPr>
      </w:r>
      <w:r>
        <w:rPr>
          <w:noProof/>
        </w:rPr>
        <w:fldChar w:fldCharType="separate"/>
      </w:r>
      <w:r>
        <w:rPr>
          <w:noProof/>
        </w:rPr>
        <w:t>11</w:t>
      </w:r>
      <w:r>
        <w:rPr>
          <w:noProof/>
        </w:rPr>
        <w:fldChar w:fldCharType="end"/>
      </w:r>
    </w:p>
    <w:p w14:paraId="5A32B46D" w14:textId="6F9EB76A" w:rsidR="00C60A9E" w:rsidRPr="00C60A9E" w:rsidRDefault="00C60A9E">
      <w:pPr>
        <w:pStyle w:val="TOC1"/>
        <w:rPr>
          <w:rFonts w:asciiTheme="minorHAnsi" w:eastAsiaTheme="minorEastAsia" w:hAnsiTheme="minorHAnsi" w:cstheme="minorBidi"/>
          <w:noProof/>
          <w:color w:val="auto"/>
          <w:sz w:val="22"/>
          <w:szCs w:val="22"/>
          <w:bdr w:val="none" w:sz="0" w:space="0" w:color="auto"/>
          <w:lang w:val="en-IE" w:eastAsia="fr-BE"/>
        </w:rPr>
      </w:pPr>
      <w:r w:rsidRPr="0056232D">
        <w:rPr>
          <w:rFonts w:eastAsia="Arial Unicode MS" w:cs="Arial Unicode MS"/>
          <w:noProof/>
        </w:rPr>
        <w:t>11. How to submit an application</w:t>
      </w:r>
      <w:r>
        <w:rPr>
          <w:noProof/>
        </w:rPr>
        <w:tab/>
      </w:r>
      <w:r>
        <w:rPr>
          <w:noProof/>
        </w:rPr>
        <w:fldChar w:fldCharType="begin"/>
      </w:r>
      <w:r>
        <w:rPr>
          <w:noProof/>
        </w:rPr>
        <w:instrText xml:space="preserve"> PAGEREF _Toc110874548 \h </w:instrText>
      </w:r>
      <w:r>
        <w:rPr>
          <w:noProof/>
        </w:rPr>
      </w:r>
      <w:r>
        <w:rPr>
          <w:noProof/>
        </w:rPr>
        <w:fldChar w:fldCharType="separate"/>
      </w:r>
      <w:r>
        <w:rPr>
          <w:noProof/>
        </w:rPr>
        <w:t>15</w:t>
      </w:r>
      <w:r>
        <w:rPr>
          <w:noProof/>
        </w:rPr>
        <w:fldChar w:fldCharType="end"/>
      </w:r>
    </w:p>
    <w:p w14:paraId="6640A62B" w14:textId="21A242D1" w:rsidR="00C60A9E" w:rsidRDefault="00C60A9E">
      <w:pPr>
        <w:pStyle w:val="TOC1"/>
        <w:rPr>
          <w:rFonts w:asciiTheme="minorHAnsi" w:eastAsiaTheme="minorEastAsia" w:hAnsiTheme="minorHAnsi" w:cstheme="minorBidi"/>
          <w:noProof/>
          <w:color w:val="auto"/>
          <w:sz w:val="22"/>
          <w:szCs w:val="22"/>
          <w:bdr w:val="none" w:sz="0" w:space="0" w:color="auto"/>
          <w:lang w:val="fr-BE" w:eastAsia="fr-BE"/>
        </w:rPr>
      </w:pPr>
      <w:r w:rsidRPr="0056232D">
        <w:rPr>
          <w:rFonts w:eastAsia="Arial Unicode MS" w:cs="Arial Unicode MS"/>
          <w:noProof/>
        </w:rPr>
        <w:t>12. Contact</w:t>
      </w:r>
      <w:r>
        <w:rPr>
          <w:noProof/>
        </w:rPr>
        <w:tab/>
      </w:r>
      <w:r>
        <w:rPr>
          <w:noProof/>
        </w:rPr>
        <w:fldChar w:fldCharType="begin"/>
      </w:r>
      <w:r>
        <w:rPr>
          <w:noProof/>
        </w:rPr>
        <w:instrText xml:space="preserve"> PAGEREF _Toc110874549 \h </w:instrText>
      </w:r>
      <w:r>
        <w:rPr>
          <w:noProof/>
        </w:rPr>
      </w:r>
      <w:r>
        <w:rPr>
          <w:noProof/>
        </w:rPr>
        <w:fldChar w:fldCharType="separate"/>
      </w:r>
      <w:r>
        <w:rPr>
          <w:noProof/>
        </w:rPr>
        <w:t>16</w:t>
      </w:r>
      <w:r>
        <w:rPr>
          <w:noProof/>
        </w:rPr>
        <w:fldChar w:fldCharType="end"/>
      </w:r>
    </w:p>
    <w:p w14:paraId="5933A107" w14:textId="2EBA9FAA" w:rsidR="00C60A9E" w:rsidRDefault="00C60A9E">
      <w:pPr>
        <w:pStyle w:val="TOC1"/>
        <w:rPr>
          <w:rFonts w:asciiTheme="minorHAnsi" w:eastAsiaTheme="minorEastAsia" w:hAnsiTheme="minorHAnsi" w:cstheme="minorBidi"/>
          <w:noProof/>
          <w:color w:val="auto"/>
          <w:sz w:val="22"/>
          <w:szCs w:val="22"/>
          <w:bdr w:val="none" w:sz="0" w:space="0" w:color="auto"/>
          <w:lang w:val="fr-BE" w:eastAsia="fr-BE"/>
        </w:rPr>
      </w:pPr>
      <w:r w:rsidRPr="0056232D">
        <w:rPr>
          <w:rFonts w:eastAsia="Arial Unicode MS" w:cs="Arial Unicode MS"/>
          <w:noProof/>
        </w:rPr>
        <w:t>13. Important</w:t>
      </w:r>
      <w:r>
        <w:rPr>
          <w:noProof/>
        </w:rPr>
        <w:tab/>
      </w:r>
      <w:r>
        <w:rPr>
          <w:noProof/>
        </w:rPr>
        <w:fldChar w:fldCharType="begin"/>
      </w:r>
      <w:r>
        <w:rPr>
          <w:noProof/>
        </w:rPr>
        <w:instrText xml:space="preserve"> PAGEREF _Toc110874550 \h </w:instrText>
      </w:r>
      <w:r>
        <w:rPr>
          <w:noProof/>
        </w:rPr>
      </w:r>
      <w:r>
        <w:rPr>
          <w:noProof/>
        </w:rPr>
        <w:fldChar w:fldCharType="separate"/>
      </w:r>
      <w:r>
        <w:rPr>
          <w:noProof/>
        </w:rPr>
        <w:t>16</w:t>
      </w:r>
      <w:r>
        <w:rPr>
          <w:noProof/>
        </w:rPr>
        <w:fldChar w:fldCharType="end"/>
      </w:r>
    </w:p>
    <w:p w14:paraId="2CB5687B" w14:textId="56A7B460" w:rsidR="00C60A9E" w:rsidRDefault="00C60A9E">
      <w:pPr>
        <w:pStyle w:val="TOC1"/>
        <w:rPr>
          <w:rFonts w:asciiTheme="minorHAnsi" w:eastAsiaTheme="minorEastAsia" w:hAnsiTheme="minorHAnsi" w:cstheme="minorBidi"/>
          <w:noProof/>
          <w:color w:val="auto"/>
          <w:sz w:val="22"/>
          <w:szCs w:val="22"/>
          <w:bdr w:val="none" w:sz="0" w:space="0" w:color="auto"/>
          <w:lang w:val="fr-BE" w:eastAsia="fr-BE"/>
        </w:rPr>
      </w:pPr>
      <w:r w:rsidRPr="0056232D">
        <w:rPr>
          <w:rFonts w:eastAsia="Arial Unicode MS" w:cs="Arial Unicode MS"/>
          <w:noProof/>
        </w:rPr>
        <w:t>Annexes</w:t>
      </w:r>
      <w:r>
        <w:rPr>
          <w:noProof/>
        </w:rPr>
        <w:tab/>
      </w:r>
      <w:r>
        <w:rPr>
          <w:noProof/>
        </w:rPr>
        <w:fldChar w:fldCharType="begin"/>
      </w:r>
      <w:r>
        <w:rPr>
          <w:noProof/>
        </w:rPr>
        <w:instrText xml:space="preserve"> PAGEREF _Toc110874551 \h </w:instrText>
      </w:r>
      <w:r>
        <w:rPr>
          <w:noProof/>
        </w:rPr>
      </w:r>
      <w:r>
        <w:rPr>
          <w:noProof/>
        </w:rPr>
        <w:fldChar w:fldCharType="separate"/>
      </w:r>
      <w:r>
        <w:rPr>
          <w:noProof/>
        </w:rPr>
        <w:t>19</w:t>
      </w:r>
      <w:r>
        <w:rPr>
          <w:noProof/>
        </w:rPr>
        <w:fldChar w:fldCharType="end"/>
      </w:r>
    </w:p>
    <w:p w14:paraId="19F65FBE" w14:textId="40919B1A" w:rsidR="00855A5C" w:rsidRDefault="00F833A3">
      <w:pPr>
        <w:widowControl w:val="0"/>
        <w:rPr>
          <w:rFonts w:ascii="Calibri" w:eastAsia="Calibri" w:hAnsi="Calibri" w:cs="Calibri"/>
          <w:sz w:val="22"/>
          <w:szCs w:val="22"/>
        </w:rPr>
      </w:pPr>
      <w:r>
        <w:rPr>
          <w:b/>
          <w:bCs/>
          <w:color w:val="A50021"/>
          <w:u w:color="A50021"/>
        </w:rPr>
        <w:fldChar w:fldCharType="end"/>
      </w:r>
    </w:p>
    <w:p w14:paraId="1BC3B2F3" w14:textId="77777777" w:rsidR="00855A5C" w:rsidRDefault="00F833A3">
      <w:pPr>
        <w:pStyle w:val="Heading"/>
      </w:pPr>
      <w:bookmarkStart w:id="0" w:name="_Toc110874537"/>
      <w:r w:rsidRPr="00E26546">
        <w:rPr>
          <w:rFonts w:eastAsia="Arial Unicode MS" w:cs="Arial Unicode MS"/>
          <w:lang w:val="en-IE"/>
        </w:rPr>
        <w:t>0. Introduction</w:t>
      </w:r>
      <w:bookmarkEnd w:id="0"/>
    </w:p>
    <w:p w14:paraId="3DB4CD39" w14:textId="77777777" w:rsidR="00855A5C" w:rsidRDefault="00F833A3">
      <w:pPr>
        <w:pStyle w:val="Body"/>
        <w:widowControl w:val="0"/>
      </w:pPr>
      <w:r>
        <w:t>This is a call for proposals</w:t>
      </w:r>
      <w:r>
        <w:rPr>
          <w:i/>
          <w:iCs/>
          <w:color w:val="4AA55B"/>
          <w:u w:color="4AA55B"/>
        </w:rPr>
        <w:t xml:space="preserve"> </w:t>
      </w:r>
      <w:r>
        <w:t xml:space="preserve">for EU </w:t>
      </w:r>
      <w:r w:rsidRPr="00E26546">
        <w:rPr>
          <w:b/>
          <w:bCs/>
          <w:lang w:val="en-IE"/>
        </w:rPr>
        <w:t>action grants</w:t>
      </w:r>
      <w:r>
        <w:t xml:space="preserve"> in the field of Transport.</w:t>
      </w:r>
    </w:p>
    <w:p w14:paraId="5C31DF58" w14:textId="77777777" w:rsidR="00855A5C" w:rsidRDefault="00F833A3">
      <w:pPr>
        <w:pStyle w:val="Body"/>
        <w:spacing w:after="120"/>
      </w:pPr>
      <w:r>
        <w:t xml:space="preserve">The regulatory framework for this EU Funding </w:t>
      </w:r>
      <w:proofErr w:type="spellStart"/>
      <w:r>
        <w:t>Programme</w:t>
      </w:r>
      <w:proofErr w:type="spellEnd"/>
      <w:r>
        <w:t xml:space="preserve"> is set out in:</w:t>
      </w:r>
    </w:p>
    <w:p w14:paraId="0052126E" w14:textId="77777777" w:rsidR="00855A5C" w:rsidRDefault="00F833A3">
      <w:pPr>
        <w:pStyle w:val="Body"/>
        <w:numPr>
          <w:ilvl w:val="0"/>
          <w:numId w:val="3"/>
        </w:numPr>
        <w:spacing w:after="120"/>
      </w:pPr>
      <w:r>
        <w:t>Regulation 2018/1046 (</w:t>
      </w:r>
      <w:hyperlink r:id="rId16" w:history="1">
        <w:r>
          <w:rPr>
            <w:rStyle w:val="Hyperlink0"/>
          </w:rPr>
          <w:t>EU Financial Regulation</w:t>
        </w:r>
      </w:hyperlink>
      <w:r>
        <w:t>)</w:t>
      </w:r>
    </w:p>
    <w:p w14:paraId="6799C92B" w14:textId="77777777" w:rsidR="00855A5C" w:rsidRDefault="00F833A3">
      <w:pPr>
        <w:pStyle w:val="Body"/>
        <w:numPr>
          <w:ilvl w:val="0"/>
          <w:numId w:val="3"/>
        </w:numPr>
      </w:pPr>
      <w:r>
        <w:t xml:space="preserve">The basic act (CEF Regulation </w:t>
      </w:r>
      <w:hyperlink r:id="rId17" w:history="1">
        <w:r>
          <w:rPr>
            <w:rStyle w:val="Link"/>
          </w:rPr>
          <w:t>2021/1153</w:t>
        </w:r>
      </w:hyperlink>
      <w:r>
        <w:rPr>
          <w:vertAlign w:val="superscript"/>
        </w:rPr>
        <w:footnoteReference w:id="2"/>
      </w:r>
      <w:r>
        <w:t>).</w:t>
      </w:r>
    </w:p>
    <w:p w14:paraId="11C77435" w14:textId="77777777" w:rsidR="00855A5C" w:rsidRDefault="00F833A3">
      <w:pPr>
        <w:pStyle w:val="Body"/>
        <w:jc w:val="left"/>
      </w:pPr>
      <w:r>
        <w:t xml:space="preserve">The call is launched in accordance with the </w:t>
      </w:r>
      <w:hyperlink r:id="rId18" w:history="1">
        <w:r>
          <w:rPr>
            <w:rStyle w:val="Link"/>
          </w:rPr>
          <w:t xml:space="preserve">CEF work </w:t>
        </w:r>
        <w:proofErr w:type="spellStart"/>
        <w:r>
          <w:rPr>
            <w:rStyle w:val="Link"/>
          </w:rPr>
          <w:t>programme</w:t>
        </w:r>
        <w:proofErr w:type="spellEnd"/>
        <w:r>
          <w:rPr>
            <w:rStyle w:val="Link"/>
          </w:rPr>
          <w:t xml:space="preserve"> for 2021-2027</w:t>
        </w:r>
      </w:hyperlink>
      <w:r>
        <w:t xml:space="preserve"> and will be managed by the European Commission, Directorate-General for Mobility and Transport.</w:t>
      </w:r>
    </w:p>
    <w:p w14:paraId="2BC1C13D" w14:textId="77777777" w:rsidR="00855A5C" w:rsidRDefault="00F833A3">
      <w:pPr>
        <w:pStyle w:val="Body"/>
        <w:jc w:val="left"/>
        <w:rPr>
          <w:b/>
          <w:bCs/>
        </w:rPr>
      </w:pPr>
      <w:r>
        <w:t xml:space="preserve">The call covers the following </w:t>
      </w:r>
      <w:r>
        <w:rPr>
          <w:b/>
          <w:bCs/>
        </w:rPr>
        <w:t>topic:</w:t>
      </w:r>
    </w:p>
    <w:p w14:paraId="431F0C8A" w14:textId="77777777" w:rsidR="00855A5C" w:rsidRDefault="00F833A3">
      <w:pPr>
        <w:pStyle w:val="Body"/>
        <w:jc w:val="left"/>
        <w:rPr>
          <w:b/>
          <w:bCs/>
        </w:rPr>
      </w:pPr>
      <w:r>
        <w:rPr>
          <w:b/>
          <w:bCs/>
        </w:rPr>
        <w:t>Technical Assistance for the development and collection of Road safety Key Performance Indicators (KPI)</w:t>
      </w:r>
    </w:p>
    <w:p w14:paraId="1930D9A2" w14:textId="77777777" w:rsidR="00855A5C" w:rsidRDefault="00F833A3">
      <w:pPr>
        <w:pStyle w:val="Body"/>
        <w:jc w:val="left"/>
      </w:pPr>
      <w:r>
        <w:t xml:space="preserve">This </w:t>
      </w:r>
      <w:r w:rsidRPr="00E26546">
        <w:rPr>
          <w:u w:val="single"/>
          <w:lang w:val="en-IE"/>
        </w:rPr>
        <w:t>Call Document</w:t>
      </w:r>
      <w:r>
        <w:t xml:space="preserve"> outlines the: </w:t>
      </w:r>
    </w:p>
    <w:p w14:paraId="0219EAFB" w14:textId="77777777" w:rsidR="00855A5C" w:rsidRDefault="00F833A3">
      <w:pPr>
        <w:pStyle w:val="Body"/>
        <w:numPr>
          <w:ilvl w:val="1"/>
          <w:numId w:val="5"/>
        </w:numPr>
      </w:pPr>
      <w:r>
        <w:lastRenderedPageBreak/>
        <w:t>background, objectives, scope, activities that can be funded and the expected results (sections 1 and 2)</w:t>
      </w:r>
    </w:p>
    <w:p w14:paraId="37584B78" w14:textId="77777777" w:rsidR="00855A5C" w:rsidRDefault="00F833A3">
      <w:pPr>
        <w:pStyle w:val="Body"/>
        <w:numPr>
          <w:ilvl w:val="1"/>
          <w:numId w:val="5"/>
        </w:numPr>
      </w:pPr>
      <w:r>
        <w:t xml:space="preserve">timetable and available budget (sections 3 and 4) </w:t>
      </w:r>
    </w:p>
    <w:p w14:paraId="5153FB7C" w14:textId="77777777" w:rsidR="00855A5C" w:rsidRDefault="00F833A3">
      <w:pPr>
        <w:pStyle w:val="Body"/>
        <w:numPr>
          <w:ilvl w:val="1"/>
          <w:numId w:val="5"/>
        </w:numPr>
      </w:pPr>
      <w:r>
        <w:t>admissibility and eligibility conditions (including mandatory documents; sections 5 and 6)</w:t>
      </w:r>
    </w:p>
    <w:p w14:paraId="1DE39A11" w14:textId="77777777" w:rsidR="00855A5C" w:rsidRDefault="00F833A3">
      <w:pPr>
        <w:pStyle w:val="Body"/>
        <w:numPr>
          <w:ilvl w:val="1"/>
          <w:numId w:val="5"/>
        </w:numPr>
      </w:pPr>
      <w:r>
        <w:t>criteria for financial and operational capacity and exclusion (section 7)</w:t>
      </w:r>
    </w:p>
    <w:p w14:paraId="3F9A45BC" w14:textId="77777777" w:rsidR="00855A5C" w:rsidRDefault="00F833A3">
      <w:pPr>
        <w:pStyle w:val="Body"/>
        <w:numPr>
          <w:ilvl w:val="1"/>
          <w:numId w:val="5"/>
        </w:numPr>
      </w:pPr>
      <w:r>
        <w:t>evaluation and award procedure (section 8)</w:t>
      </w:r>
    </w:p>
    <w:p w14:paraId="1C7202AF" w14:textId="77777777" w:rsidR="00855A5C" w:rsidRDefault="00F833A3">
      <w:pPr>
        <w:pStyle w:val="Body"/>
        <w:numPr>
          <w:ilvl w:val="1"/>
          <w:numId w:val="5"/>
        </w:numPr>
      </w:pPr>
      <w:r>
        <w:t xml:space="preserve">award criteria (section 9) </w:t>
      </w:r>
    </w:p>
    <w:p w14:paraId="5CDDAEB1" w14:textId="77777777" w:rsidR="00855A5C" w:rsidRDefault="00F833A3">
      <w:pPr>
        <w:pStyle w:val="Body"/>
        <w:numPr>
          <w:ilvl w:val="1"/>
          <w:numId w:val="5"/>
        </w:numPr>
      </w:pPr>
      <w:r>
        <w:t>legal and financial set-up of the Grant Agreements (section 10)</w:t>
      </w:r>
    </w:p>
    <w:p w14:paraId="3F83A234" w14:textId="77777777" w:rsidR="00855A5C" w:rsidRDefault="00F833A3">
      <w:pPr>
        <w:pStyle w:val="Body"/>
        <w:numPr>
          <w:ilvl w:val="1"/>
          <w:numId w:val="5"/>
        </w:numPr>
      </w:pPr>
      <w:r>
        <w:t>how to submit an application (section 11)</w:t>
      </w:r>
    </w:p>
    <w:p w14:paraId="37F27FEE" w14:textId="77777777" w:rsidR="00855A5C" w:rsidRDefault="00F833A3">
      <w:pPr>
        <w:pStyle w:val="Heading"/>
      </w:pPr>
      <w:bookmarkStart w:id="1" w:name="_Toc110874538"/>
      <w:r>
        <w:rPr>
          <w:rFonts w:eastAsia="Arial Unicode MS" w:cs="Arial Unicode MS"/>
          <w:lang w:val="en-US"/>
        </w:rPr>
        <w:t>1. Background</w:t>
      </w:r>
      <w:bookmarkEnd w:id="1"/>
    </w:p>
    <w:p w14:paraId="6D229B89" w14:textId="28F677D1" w:rsidR="00855A5C" w:rsidRDefault="00F833A3">
      <w:pPr>
        <w:pStyle w:val="Text1"/>
        <w:ind w:left="0"/>
      </w:pPr>
      <w:r>
        <w:t xml:space="preserve">Road safety Key Performance Indicators (KPIs) are an integral part of the “Safe System” approach to road safety, which underpins the Commission’s Road Safety Policy Framework 2021-2030. In order to gain a clearer understanding of the different issues that influence overall safety performance, the Commission elaborated, in close cooperation with Member States, a first set of KPIs for road safety which were defined in the above-mentioned framework. </w:t>
      </w:r>
    </w:p>
    <w:p w14:paraId="63B5BAF2" w14:textId="7AC04C1A" w:rsidR="00855A5C" w:rsidRDefault="00F833A3">
      <w:pPr>
        <w:pStyle w:val="Text1"/>
        <w:ind w:left="0"/>
      </w:pPr>
      <w:r>
        <w:t xml:space="preserve">Commission Implementing Decision C(2021)5763 final of 5.8.2021 concerning the adoption of the work </w:t>
      </w:r>
      <w:proofErr w:type="spellStart"/>
      <w:r>
        <w:t>programme</w:t>
      </w:r>
      <w:proofErr w:type="spellEnd"/>
      <w:r>
        <w:t xml:space="preserve"> for 2021-2023 and the financing decision for the implementation of the CEF foresees a technical assistance action for the “Collection of Key Performance Indicators for road safety”. This action will be implemented through a grant awarded following this call to national authorities. The action will build on a previous CEF support action in 2020-2022 which established the Baseline project to collect 8 road safety Key Performance Indicators (KPIs) in 18 EU Member States.</w:t>
      </w:r>
    </w:p>
    <w:p w14:paraId="4DD1D092" w14:textId="77777777" w:rsidR="00855A5C" w:rsidRDefault="00855A5C">
      <w:pPr>
        <w:pStyle w:val="Text1"/>
        <w:ind w:left="0"/>
      </w:pPr>
    </w:p>
    <w:p w14:paraId="053B5825" w14:textId="77777777" w:rsidR="00855A5C" w:rsidRDefault="00F833A3">
      <w:pPr>
        <w:pStyle w:val="Heading"/>
      </w:pPr>
      <w:bookmarkStart w:id="2" w:name="_Toc110874539"/>
      <w:r w:rsidRPr="00E26546">
        <w:rPr>
          <w:rFonts w:eastAsia="Arial Unicode MS" w:cs="Arial Unicode MS"/>
          <w:lang w:val="en-IE"/>
        </w:rPr>
        <w:t xml:space="preserve">2. Objectives </w:t>
      </w:r>
      <w:r>
        <w:rPr>
          <w:rFonts w:eastAsia="Arial Unicode MS" w:cs="Arial Unicode MS"/>
          <w:lang w:val="en-US"/>
        </w:rPr>
        <w:t>— Themes and priorities — Activities that can be funded — Expected impact</w:t>
      </w:r>
      <w:bookmarkEnd w:id="2"/>
    </w:p>
    <w:p w14:paraId="50B13485" w14:textId="77777777" w:rsidR="00855A5C" w:rsidRDefault="00F833A3">
      <w:pPr>
        <w:pStyle w:val="Heading3"/>
        <w:rPr>
          <w:i w:val="0"/>
          <w:iCs w:val="0"/>
        </w:rPr>
      </w:pPr>
      <w:r>
        <w:rPr>
          <w:rFonts w:eastAsia="Arial Unicode MS" w:cs="Arial Unicode MS"/>
          <w:lang w:val="en-US"/>
        </w:rPr>
        <w:t>Objectives (expected outcome)</w:t>
      </w:r>
      <w:r>
        <w:rPr>
          <w:rFonts w:eastAsia="Arial Unicode MS" w:cs="Arial Unicode MS"/>
          <w:shd w:val="clear" w:color="auto" w:fill="FFFF00"/>
        </w:rPr>
        <w:t xml:space="preserve"> </w:t>
      </w:r>
    </w:p>
    <w:p w14:paraId="3938AB2F" w14:textId="77777777" w:rsidR="00855A5C" w:rsidRDefault="00F833A3">
      <w:pPr>
        <w:pStyle w:val="Body"/>
        <w:widowControl w:val="0"/>
      </w:pPr>
      <w:r>
        <w:t xml:space="preserve">The aim of this TA action will be to build on the work undertaken during the Baseline project  (where data on 8 KPIs were collected in 18 EU Member States), support a new round of data collection for KPIs and provide a solid basis for monitoring progress in joint road safety work at EU, Member State, regional and local level. </w:t>
      </w:r>
    </w:p>
    <w:p w14:paraId="4E0BEDE2" w14:textId="77777777" w:rsidR="00855A5C" w:rsidRDefault="00F833A3">
      <w:pPr>
        <w:pStyle w:val="Body"/>
        <w:widowControl w:val="0"/>
      </w:pPr>
      <w:r>
        <w:t>More specifically, the funding will assist Member States</w:t>
      </w:r>
      <w:r>
        <w:rPr>
          <w:rtl/>
        </w:rPr>
        <w:t xml:space="preserve">’ </w:t>
      </w:r>
      <w:r>
        <w:t xml:space="preserve">authorities in the collection and </w:t>
      </w:r>
      <w:proofErr w:type="spellStart"/>
      <w:r>
        <w:t>harmonised</w:t>
      </w:r>
      <w:proofErr w:type="spellEnd"/>
      <w:r>
        <w:t xml:space="preserve"> reporting of KPIs and contribute to building the capacity of countries with little or no experience in collecting KPIs. The action will also enable countries to exchange experience on the use of KPIs at national level for policymaking and will be used to develop methodologies for possible target setting, in cooperation with the Commission.</w:t>
      </w:r>
    </w:p>
    <w:p w14:paraId="3AB1DFB4" w14:textId="611E1E6A" w:rsidR="00855A5C" w:rsidRDefault="00F833A3">
      <w:pPr>
        <w:pStyle w:val="Body"/>
        <w:widowControl w:val="0"/>
      </w:pPr>
      <w:r>
        <w:t xml:space="preserve">The Commission is encouraging all EU Member States to take part in this next phase of the project, as part of a single consortium. Member States who commit to collecting and providing data for a minimum of 3 road safety KPIs are eligible to join the project and participate in the decision-making process. To be eligible for a grant under the TA action for a particular indicator, a Member State needs to follow the common definitions and methodology. Countries which are unable to provide data for the minimum of 3 </w:t>
      </w:r>
      <w:r>
        <w:lastRenderedPageBreak/>
        <w:t xml:space="preserve">indicators can </w:t>
      </w:r>
      <w:proofErr w:type="gramStart"/>
      <w:r>
        <w:t xml:space="preserve">participate </w:t>
      </w:r>
      <w:r>
        <w:rPr>
          <w:lang w:val="pt-PT"/>
        </w:rPr>
        <w:t xml:space="preserve"> as</w:t>
      </w:r>
      <w:proofErr w:type="gramEnd"/>
      <w:r>
        <w:rPr>
          <w:lang w:val="pt-PT"/>
        </w:rPr>
        <w:t xml:space="preserve"> </w:t>
      </w:r>
      <w:proofErr w:type="spellStart"/>
      <w:r>
        <w:rPr>
          <w:lang w:val="pt-PT"/>
        </w:rPr>
        <w:t>observers</w:t>
      </w:r>
      <w:proofErr w:type="spellEnd"/>
      <w:r>
        <w:rPr>
          <w:lang w:val="pt-PT"/>
        </w:rPr>
        <w:t>.</w:t>
      </w:r>
    </w:p>
    <w:p w14:paraId="54DFC5BF" w14:textId="77777777" w:rsidR="00855A5C" w:rsidRDefault="00F833A3">
      <w:pPr>
        <w:pStyle w:val="Heading3"/>
      </w:pPr>
      <w:r>
        <w:rPr>
          <w:rFonts w:eastAsia="Arial Unicode MS" w:cs="Arial Unicode MS"/>
          <w:lang w:val="en-US"/>
        </w:rPr>
        <w:t>Themes and priorities (scope)</w:t>
      </w:r>
    </w:p>
    <w:p w14:paraId="27B2038F" w14:textId="3E346E17" w:rsidR="00855A5C" w:rsidRDefault="00F833A3">
      <w:pPr>
        <w:pStyle w:val="Body"/>
        <w:widowControl w:val="0"/>
      </w:pPr>
      <w:r>
        <w:t>The action will focus largely on collecting comparable and quality data for the current set of 8 KPI</w:t>
      </w:r>
      <w:r w:rsidR="004D59E2">
        <w:t>s</w:t>
      </w:r>
      <w:r>
        <w:t>, as laid down in the Commission</w:t>
      </w:r>
      <w:r>
        <w:rPr>
          <w:rtl/>
        </w:rPr>
        <w:t>’</w:t>
      </w:r>
      <w:r>
        <w:t xml:space="preserve">s Road Safety Policy Framework 2021-2030, though each indicator will be subject to review. The methodological guidelines for each KPI, as defined in Baseline, will be the basis and starting point for future activities. However, the guidelines, including the minimum requirements, will be reviewed, refined and simplified, where appropriate.  </w:t>
      </w:r>
    </w:p>
    <w:p w14:paraId="733F5040" w14:textId="77777777" w:rsidR="00855A5C" w:rsidRDefault="00F833A3">
      <w:pPr>
        <w:pStyle w:val="Body"/>
        <w:widowControl w:val="0"/>
      </w:pPr>
      <w:r>
        <w:t>In addition, the action will test some new, complementary and experimental indicators, to be defined by the consortium and agreed by the Commission. As a minimum, an indicator related to enforcement should be included.</w:t>
      </w:r>
    </w:p>
    <w:p w14:paraId="5EF69624" w14:textId="77777777" w:rsidR="00855A5C" w:rsidRDefault="00F833A3">
      <w:pPr>
        <w:pStyle w:val="Heading3"/>
      </w:pPr>
      <w:r>
        <w:rPr>
          <w:rFonts w:eastAsia="Arial Unicode MS" w:cs="Arial Unicode MS"/>
          <w:lang w:val="en-US"/>
        </w:rPr>
        <w:t>Activities that can be funded (scope)</w:t>
      </w:r>
    </w:p>
    <w:p w14:paraId="34EADCB0" w14:textId="7C7050E1" w:rsidR="00855A5C" w:rsidRDefault="00F833A3">
      <w:pPr>
        <w:pStyle w:val="Body"/>
      </w:pPr>
      <w:r>
        <w:t>a)</w:t>
      </w:r>
      <w:r>
        <w:tab/>
        <w:t xml:space="preserve">Review and </w:t>
      </w:r>
      <w:r w:rsidRPr="00E26546">
        <w:rPr>
          <w:lang w:val="en-GB"/>
        </w:rPr>
        <w:t>customisation</w:t>
      </w:r>
      <w:r>
        <w:t xml:space="preserve"> of methodological requirements for the current set of KPIs (including new, readily-available complementary indicators)</w:t>
      </w:r>
    </w:p>
    <w:p w14:paraId="31211E36" w14:textId="77777777" w:rsidR="00855A5C" w:rsidRDefault="00F833A3">
      <w:pPr>
        <w:pStyle w:val="Body"/>
      </w:pPr>
      <w:r>
        <w:t>b)</w:t>
      </w:r>
      <w:r>
        <w:tab/>
        <w:t>Data collection work, including fieldwork where appropriate</w:t>
      </w:r>
    </w:p>
    <w:p w14:paraId="5E90C206" w14:textId="77777777" w:rsidR="00855A5C" w:rsidRDefault="00F833A3">
      <w:pPr>
        <w:pStyle w:val="Body"/>
      </w:pPr>
      <w:r>
        <w:t>c)</w:t>
      </w:r>
      <w:r>
        <w:tab/>
        <w:t xml:space="preserve">Data processing, calculation of KPIs and provision of datasets in a </w:t>
      </w:r>
      <w:proofErr w:type="spellStart"/>
      <w:r>
        <w:t>harmonised</w:t>
      </w:r>
      <w:proofErr w:type="spellEnd"/>
      <w:r>
        <w:t xml:space="preserve"> format </w:t>
      </w:r>
    </w:p>
    <w:p w14:paraId="72705A29" w14:textId="77777777" w:rsidR="00855A5C" w:rsidRDefault="00F833A3">
      <w:pPr>
        <w:pStyle w:val="Body"/>
      </w:pPr>
      <w:r>
        <w:t>d)</w:t>
      </w:r>
      <w:r>
        <w:tab/>
        <w:t>Training of personnel involved in the data collection and data processing</w:t>
      </w:r>
    </w:p>
    <w:p w14:paraId="5B3FCC02" w14:textId="77777777" w:rsidR="00855A5C" w:rsidRDefault="00F833A3">
      <w:pPr>
        <w:pStyle w:val="Body"/>
      </w:pPr>
      <w:r>
        <w:t>e)</w:t>
      </w:r>
      <w:r>
        <w:tab/>
        <w:t xml:space="preserve">Analysis, dissemination and use of the results </w:t>
      </w:r>
    </w:p>
    <w:p w14:paraId="39823EF8" w14:textId="7BDBB07C" w:rsidR="00855A5C" w:rsidRDefault="00F833A3">
      <w:pPr>
        <w:pStyle w:val="Body"/>
      </w:pPr>
      <w:r>
        <w:t>f)</w:t>
      </w:r>
      <w:r>
        <w:tab/>
        <w:t>For new experimental indicators and methodologies - development of common methodology, data collection, data processing, provision of datasets, analysis, dissemination and use</w:t>
      </w:r>
    </w:p>
    <w:p w14:paraId="54B68C8E" w14:textId="360E82DA" w:rsidR="00855A5C" w:rsidRDefault="00F833A3">
      <w:pPr>
        <w:pStyle w:val="Body"/>
      </w:pPr>
      <w:r w:rsidRPr="00E26546">
        <w:rPr>
          <w:lang w:val="en-IE"/>
        </w:rPr>
        <w:t>g)</w:t>
      </w:r>
      <w:r w:rsidRPr="00E26546">
        <w:rPr>
          <w:lang w:val="en-IE"/>
        </w:rPr>
        <w:tab/>
        <w:t>Project management</w:t>
      </w:r>
      <w:r>
        <w:t xml:space="preserve"> and coordination</w:t>
      </w:r>
      <w:r w:rsidR="004D59E2">
        <w:t xml:space="preserve"> at </w:t>
      </w:r>
      <w:r w:rsidR="00B50690">
        <w:t xml:space="preserve">European </w:t>
      </w:r>
      <w:r w:rsidR="004D59E2">
        <w:t>level</w:t>
      </w:r>
      <w:r>
        <w:t xml:space="preserve"> (</w:t>
      </w:r>
      <w:r w:rsidR="00B50690">
        <w:t>as opposed to national level only)</w:t>
      </w:r>
      <w:r>
        <w:t xml:space="preserve"> as well as outreach</w:t>
      </w:r>
    </w:p>
    <w:p w14:paraId="7A3B02F7" w14:textId="768F6A6E" w:rsidR="00855A5C" w:rsidRDefault="00F833A3">
      <w:pPr>
        <w:pStyle w:val="Body"/>
      </w:pPr>
      <w:r>
        <w:t>Note that outreach activities that incur costs outside the EU should be agreed in advance with the Commission.</w:t>
      </w:r>
      <w:r w:rsidR="00B50690">
        <w:t xml:space="preserve"> Note also that revision of the common methodology falls under g).</w:t>
      </w:r>
    </w:p>
    <w:p w14:paraId="44EDC6B3" w14:textId="77777777" w:rsidR="00855A5C" w:rsidRDefault="00F833A3">
      <w:pPr>
        <w:pStyle w:val="Body"/>
      </w:pPr>
      <w:r>
        <w:t>The indicative budget for this topic is EUR 5 000 000 of which indicatively 10% (up to a maximum of 15%) would cover activities under activity f)</w:t>
      </w:r>
    </w:p>
    <w:p w14:paraId="70EC9C5D" w14:textId="77777777" w:rsidR="00855A5C" w:rsidRDefault="00F833A3">
      <w:pPr>
        <w:pStyle w:val="Body"/>
        <w:rPr>
          <w:shd w:val="clear" w:color="auto" w:fill="FFFF00"/>
        </w:rPr>
      </w:pPr>
      <w:r>
        <w:t>The funding rates for each activity are set out in section 10 below.</w:t>
      </w:r>
    </w:p>
    <w:p w14:paraId="403785BC" w14:textId="77777777" w:rsidR="00855A5C" w:rsidRDefault="00F833A3">
      <w:pPr>
        <w:pStyle w:val="Heading"/>
      </w:pPr>
      <w:bookmarkStart w:id="3" w:name="_Toc110874540"/>
      <w:r>
        <w:rPr>
          <w:rFonts w:eastAsia="Arial Unicode MS" w:cs="Arial Unicode MS"/>
          <w:lang w:val="en-US"/>
        </w:rPr>
        <w:t>3. Available budget</w:t>
      </w:r>
      <w:bookmarkEnd w:id="3"/>
    </w:p>
    <w:p w14:paraId="2D125125" w14:textId="77777777" w:rsidR="00855A5C" w:rsidRDefault="00F833A3">
      <w:pPr>
        <w:pStyle w:val="Body"/>
      </w:pPr>
      <w:r>
        <w:t xml:space="preserve">The available budget is </w:t>
      </w:r>
      <w:r w:rsidRPr="00E26546">
        <w:rPr>
          <w:b/>
          <w:bCs/>
          <w:lang w:val="en-IE"/>
        </w:rPr>
        <w:t>EUR 5 000 000</w:t>
      </w:r>
      <w:r>
        <w:t>, out of which indicatively 10% (up to a maximum of 15%) would fund activities under activity f) (see section 2 above)</w:t>
      </w:r>
    </w:p>
    <w:p w14:paraId="32BFB5BC" w14:textId="77777777" w:rsidR="00855A5C" w:rsidRDefault="00F833A3">
      <w:pPr>
        <w:pStyle w:val="Body"/>
      </w:pPr>
      <w:r>
        <w:t>We reserve the right not to award all available funds, depending on the results of the evaluation.</w:t>
      </w:r>
    </w:p>
    <w:p w14:paraId="7FABB719" w14:textId="77777777" w:rsidR="00855A5C" w:rsidRDefault="00F833A3">
      <w:pPr>
        <w:pStyle w:val="Heading"/>
      </w:pPr>
      <w:bookmarkStart w:id="4" w:name="_Toc110874541"/>
      <w:r>
        <w:rPr>
          <w:rFonts w:eastAsia="Arial Unicode MS" w:cs="Arial Unicode MS"/>
          <w:lang w:val="en-US"/>
        </w:rPr>
        <w:t>4. Timetable and deadlines</w:t>
      </w:r>
      <w:bookmarkEnd w:id="4"/>
      <w:r>
        <w:rPr>
          <w:rFonts w:eastAsia="Arial Unicode MS" w:cs="Arial Unicode MS"/>
          <w:lang w:val="en-US"/>
        </w:rPr>
        <w:t xml:space="preserve"> </w:t>
      </w:r>
    </w:p>
    <w:p w14:paraId="799C370F" w14:textId="77777777" w:rsidR="00855A5C" w:rsidRDefault="00855A5C">
      <w:pPr>
        <w:pStyle w:val="Text3"/>
        <w:ind w:left="0"/>
      </w:pPr>
    </w:p>
    <w:tbl>
      <w:tblPr>
        <w:tblW w:w="8724" w:type="dxa"/>
        <w:tblInd w:w="6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4"/>
        <w:gridCol w:w="4220"/>
      </w:tblGrid>
      <w:tr w:rsidR="00855A5C" w14:paraId="0C296BF8" w14:textId="77777777">
        <w:trPr>
          <w:trHeight w:val="270"/>
        </w:trPr>
        <w:tc>
          <w:tcPr>
            <w:tcW w:w="8724" w:type="dxa"/>
            <w:gridSpan w:val="2"/>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8F939C0" w14:textId="77777777" w:rsidR="00855A5C" w:rsidRDefault="00F833A3">
            <w:pPr>
              <w:pStyle w:val="Text3"/>
              <w:ind w:left="0"/>
            </w:pPr>
            <w:r>
              <w:rPr>
                <w:b/>
                <w:bCs/>
                <w:color w:val="595959"/>
                <w:u w:color="595959"/>
              </w:rPr>
              <w:t>Timetable and deadlines (indicative)</w:t>
            </w:r>
          </w:p>
        </w:tc>
      </w:tr>
      <w:tr w:rsidR="00855A5C" w14:paraId="1CCF03B5" w14:textId="77777777">
        <w:trPr>
          <w:trHeight w:val="270"/>
        </w:trPr>
        <w:tc>
          <w:tcPr>
            <w:tcW w:w="4504"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2C1FCE41" w14:textId="77777777" w:rsidR="00855A5C" w:rsidRDefault="00F833A3">
            <w:pPr>
              <w:pStyle w:val="Text3"/>
              <w:ind w:left="0"/>
            </w:pPr>
            <w:r>
              <w:rPr>
                <w:color w:val="595959"/>
                <w:u w:color="595959"/>
              </w:rPr>
              <w:lastRenderedPageBreak/>
              <w:t>Call opening:</w:t>
            </w:r>
          </w:p>
        </w:tc>
        <w:tc>
          <w:tcPr>
            <w:tcW w:w="4219" w:type="dxa"/>
            <w:tcBorders>
              <w:top w:val="single" w:sz="12" w:space="0" w:color="BFBFBF"/>
              <w:left w:val="single" w:sz="12" w:space="0" w:color="BFBFBF"/>
              <w:bottom w:val="single" w:sz="12" w:space="0" w:color="BFBFBF"/>
              <w:right w:val="single" w:sz="12" w:space="0" w:color="BFBFBF"/>
            </w:tcBorders>
            <w:shd w:val="clear" w:color="auto" w:fill="auto"/>
            <w:tcMar>
              <w:top w:w="80" w:type="dxa"/>
              <w:left w:w="80" w:type="dxa"/>
              <w:bottom w:w="80" w:type="dxa"/>
              <w:right w:w="80" w:type="dxa"/>
            </w:tcMar>
          </w:tcPr>
          <w:p w14:paraId="5B386030" w14:textId="77777777" w:rsidR="00855A5C" w:rsidRDefault="00F833A3">
            <w:pPr>
              <w:pStyle w:val="Text3"/>
              <w:ind w:left="0"/>
            </w:pPr>
            <w:r>
              <w:rPr>
                <w:color w:val="595959"/>
                <w:u w:color="595959"/>
              </w:rPr>
              <w:t>August 2022</w:t>
            </w:r>
          </w:p>
        </w:tc>
      </w:tr>
      <w:tr w:rsidR="00855A5C" w14:paraId="00BA6E18" w14:textId="77777777">
        <w:trPr>
          <w:trHeight w:val="510"/>
        </w:trPr>
        <w:tc>
          <w:tcPr>
            <w:tcW w:w="4504"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4CCDEA4E" w14:textId="77777777" w:rsidR="00855A5C" w:rsidRDefault="00F833A3">
            <w:pPr>
              <w:pStyle w:val="Text3"/>
              <w:ind w:left="0"/>
            </w:pPr>
            <w:r>
              <w:rPr>
                <w:color w:val="595959"/>
                <w:u w:val="single" w:color="595959"/>
              </w:rPr>
              <w:t>Deadline for submission:</w:t>
            </w:r>
          </w:p>
        </w:tc>
        <w:tc>
          <w:tcPr>
            <w:tcW w:w="4219" w:type="dxa"/>
            <w:tcBorders>
              <w:top w:val="single" w:sz="12" w:space="0" w:color="BFBFBF"/>
              <w:left w:val="single" w:sz="12" w:space="0" w:color="BFBFBF"/>
              <w:bottom w:val="single" w:sz="12" w:space="0" w:color="BFBFBF"/>
              <w:right w:val="single" w:sz="12" w:space="0" w:color="BFBFBF"/>
            </w:tcBorders>
            <w:shd w:val="clear" w:color="auto" w:fill="auto"/>
            <w:tcMar>
              <w:top w:w="80" w:type="dxa"/>
              <w:left w:w="80" w:type="dxa"/>
              <w:bottom w:w="80" w:type="dxa"/>
              <w:right w:w="80" w:type="dxa"/>
            </w:tcMar>
          </w:tcPr>
          <w:p w14:paraId="12A28AFB" w14:textId="77777777" w:rsidR="00855A5C" w:rsidRDefault="00F833A3">
            <w:pPr>
              <w:pStyle w:val="Text3"/>
              <w:ind w:left="0"/>
            </w:pPr>
            <w:r>
              <w:rPr>
                <w:color w:val="595959"/>
                <w:u w:val="single" w:color="595959"/>
              </w:rPr>
              <w:t>13 October 2022 – 17:00:00 CET (Brussels)</w:t>
            </w:r>
          </w:p>
        </w:tc>
      </w:tr>
      <w:tr w:rsidR="00855A5C" w14:paraId="27817009" w14:textId="77777777">
        <w:trPr>
          <w:trHeight w:val="270"/>
        </w:trPr>
        <w:tc>
          <w:tcPr>
            <w:tcW w:w="4504"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0B1E36F5" w14:textId="77777777" w:rsidR="00855A5C" w:rsidRDefault="00F833A3">
            <w:pPr>
              <w:pStyle w:val="Text3"/>
              <w:ind w:left="0"/>
            </w:pPr>
            <w:r>
              <w:rPr>
                <w:color w:val="595959"/>
                <w:u w:color="595959"/>
              </w:rPr>
              <w:t>Evaluation:</w:t>
            </w:r>
          </w:p>
        </w:tc>
        <w:tc>
          <w:tcPr>
            <w:tcW w:w="4219" w:type="dxa"/>
            <w:tcBorders>
              <w:top w:val="single" w:sz="12" w:space="0" w:color="BFBFBF"/>
              <w:left w:val="single" w:sz="12" w:space="0" w:color="BFBFBF"/>
              <w:bottom w:val="single" w:sz="12" w:space="0" w:color="BFBFBF"/>
              <w:right w:val="single" w:sz="12" w:space="0" w:color="BFBFBF"/>
            </w:tcBorders>
            <w:shd w:val="clear" w:color="auto" w:fill="auto"/>
            <w:tcMar>
              <w:top w:w="80" w:type="dxa"/>
              <w:left w:w="80" w:type="dxa"/>
              <w:bottom w:w="80" w:type="dxa"/>
              <w:right w:w="80" w:type="dxa"/>
            </w:tcMar>
          </w:tcPr>
          <w:p w14:paraId="212F1D3D" w14:textId="77777777" w:rsidR="00855A5C" w:rsidRDefault="00F833A3">
            <w:pPr>
              <w:pStyle w:val="Text3"/>
              <w:ind w:left="0"/>
            </w:pPr>
            <w:r>
              <w:rPr>
                <w:color w:val="595959"/>
                <w:u w:color="595959"/>
              </w:rPr>
              <w:t>November 2022</w:t>
            </w:r>
          </w:p>
        </w:tc>
      </w:tr>
      <w:tr w:rsidR="00855A5C" w14:paraId="5F4ED873" w14:textId="77777777">
        <w:trPr>
          <w:trHeight w:val="510"/>
        </w:trPr>
        <w:tc>
          <w:tcPr>
            <w:tcW w:w="4504"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2BB3D450" w14:textId="77777777" w:rsidR="00855A5C" w:rsidRDefault="00F833A3">
            <w:pPr>
              <w:pStyle w:val="Text3"/>
              <w:ind w:left="0"/>
            </w:pPr>
            <w:r>
              <w:rPr>
                <w:color w:val="595959"/>
                <w:u w:color="595959"/>
              </w:rPr>
              <w:t>Information on evaluation results:</w:t>
            </w:r>
          </w:p>
        </w:tc>
        <w:tc>
          <w:tcPr>
            <w:tcW w:w="4219" w:type="dxa"/>
            <w:tcBorders>
              <w:top w:val="single" w:sz="12" w:space="0" w:color="BFBFBF"/>
              <w:left w:val="single" w:sz="12" w:space="0" w:color="BFBFBF"/>
              <w:bottom w:val="single" w:sz="12" w:space="0" w:color="BFBFBF"/>
              <w:right w:val="single" w:sz="12" w:space="0" w:color="BFBFBF"/>
            </w:tcBorders>
            <w:shd w:val="clear" w:color="auto" w:fill="auto"/>
            <w:tcMar>
              <w:top w:w="80" w:type="dxa"/>
              <w:left w:w="80" w:type="dxa"/>
              <w:bottom w:w="80" w:type="dxa"/>
              <w:right w:w="80" w:type="dxa"/>
            </w:tcMar>
          </w:tcPr>
          <w:p w14:paraId="2CE4C463" w14:textId="77777777" w:rsidR="00855A5C" w:rsidRDefault="00F833A3">
            <w:pPr>
              <w:pStyle w:val="Text3"/>
              <w:ind w:left="0"/>
            </w:pPr>
            <w:r>
              <w:rPr>
                <w:color w:val="595959"/>
                <w:u w:color="595959"/>
              </w:rPr>
              <w:t>December 2022</w:t>
            </w:r>
          </w:p>
        </w:tc>
      </w:tr>
      <w:tr w:rsidR="00855A5C" w14:paraId="0BD297FE" w14:textId="77777777">
        <w:trPr>
          <w:trHeight w:val="270"/>
        </w:trPr>
        <w:tc>
          <w:tcPr>
            <w:tcW w:w="4504"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6ED2AB19" w14:textId="77777777" w:rsidR="00855A5C" w:rsidRDefault="00F833A3">
            <w:pPr>
              <w:pStyle w:val="Text3"/>
              <w:ind w:left="0"/>
            </w:pPr>
            <w:r>
              <w:rPr>
                <w:color w:val="595959"/>
                <w:u w:color="595959"/>
              </w:rPr>
              <w:t>GA signature:</w:t>
            </w:r>
          </w:p>
        </w:tc>
        <w:tc>
          <w:tcPr>
            <w:tcW w:w="4219" w:type="dxa"/>
            <w:tcBorders>
              <w:top w:val="single" w:sz="12" w:space="0" w:color="BFBFBF"/>
              <w:left w:val="single" w:sz="12" w:space="0" w:color="BFBFBF"/>
              <w:bottom w:val="single" w:sz="12" w:space="0" w:color="BFBFBF"/>
              <w:right w:val="single" w:sz="12" w:space="0" w:color="BFBFBF"/>
            </w:tcBorders>
            <w:shd w:val="clear" w:color="auto" w:fill="auto"/>
            <w:tcMar>
              <w:top w:w="80" w:type="dxa"/>
              <w:left w:w="80" w:type="dxa"/>
              <w:bottom w:w="80" w:type="dxa"/>
              <w:right w:w="80" w:type="dxa"/>
            </w:tcMar>
          </w:tcPr>
          <w:p w14:paraId="22FAD538" w14:textId="77777777" w:rsidR="00855A5C" w:rsidRDefault="00F833A3">
            <w:pPr>
              <w:pStyle w:val="Text3"/>
              <w:ind w:left="0"/>
            </w:pPr>
            <w:r>
              <w:rPr>
                <w:color w:val="595959"/>
                <w:u w:color="595959"/>
              </w:rPr>
              <w:t>December 2022 / January 2023</w:t>
            </w:r>
          </w:p>
        </w:tc>
      </w:tr>
    </w:tbl>
    <w:p w14:paraId="291DAC2A" w14:textId="77777777" w:rsidR="00855A5C" w:rsidRDefault="00855A5C">
      <w:pPr>
        <w:pStyle w:val="Text3"/>
        <w:widowControl w:val="0"/>
        <w:ind w:left="588" w:hanging="588"/>
      </w:pPr>
    </w:p>
    <w:p w14:paraId="72628645" w14:textId="77777777" w:rsidR="00855A5C" w:rsidRDefault="00855A5C">
      <w:pPr>
        <w:pStyle w:val="Text3"/>
        <w:ind w:left="0"/>
        <w:rPr>
          <w:shd w:val="clear" w:color="auto" w:fill="FFFF00"/>
        </w:rPr>
      </w:pPr>
    </w:p>
    <w:p w14:paraId="48C5FC0D" w14:textId="77777777" w:rsidR="00855A5C" w:rsidRDefault="00F833A3">
      <w:pPr>
        <w:pStyle w:val="Heading"/>
      </w:pPr>
      <w:bookmarkStart w:id="5" w:name="_Toc110874542"/>
      <w:r>
        <w:rPr>
          <w:rFonts w:eastAsia="Arial Unicode MS" w:cs="Arial Unicode MS"/>
          <w:lang w:val="en-US"/>
        </w:rPr>
        <w:t>5. Admissibility and documents</w:t>
      </w:r>
      <w:bookmarkEnd w:id="5"/>
    </w:p>
    <w:p w14:paraId="6E6369A5" w14:textId="77777777" w:rsidR="00855A5C" w:rsidRDefault="00F833A3">
      <w:pPr>
        <w:pStyle w:val="Text1"/>
        <w:tabs>
          <w:tab w:val="clear" w:pos="2160"/>
        </w:tabs>
        <w:ind w:left="0"/>
      </w:pPr>
      <w:r>
        <w:t xml:space="preserve">Proposals must be submitted before the </w:t>
      </w:r>
      <w:r>
        <w:rPr>
          <w:b/>
          <w:bCs/>
        </w:rPr>
        <w:t>call deadline</w:t>
      </w:r>
      <w:r>
        <w:t xml:space="preserve"> </w:t>
      </w:r>
      <w:r>
        <w:rPr>
          <w:i/>
          <w:iCs/>
        </w:rPr>
        <w:t>(see timetable section 4)</w:t>
      </w:r>
      <w:r>
        <w:t>.</w:t>
      </w:r>
    </w:p>
    <w:p w14:paraId="76D8C07F" w14:textId="77777777" w:rsidR="00855A5C" w:rsidRPr="00E26546" w:rsidRDefault="00F833A3">
      <w:pPr>
        <w:pStyle w:val="BodyA"/>
        <w:rPr>
          <w:lang w:val="en-IE"/>
        </w:rPr>
      </w:pPr>
      <w:r>
        <w:rPr>
          <w:lang w:val="en-US"/>
        </w:rPr>
        <w:t xml:space="preserve"> Proposals must be </w:t>
      </w:r>
      <w:r>
        <w:rPr>
          <w:b/>
          <w:bCs/>
          <w:lang w:val="en-US"/>
        </w:rPr>
        <w:t>complete</w:t>
      </w:r>
      <w:r>
        <w:rPr>
          <w:lang w:val="en-US"/>
        </w:rPr>
        <w:t xml:space="preserve"> and contain all the requested information and all required annexes and supporting documents: </w:t>
      </w:r>
    </w:p>
    <w:p w14:paraId="745DB528" w14:textId="77777777" w:rsidR="00855A5C" w:rsidRDefault="00F833A3">
      <w:pPr>
        <w:pStyle w:val="ListParagraph"/>
        <w:numPr>
          <w:ilvl w:val="0"/>
          <w:numId w:val="7"/>
        </w:numPr>
        <w:spacing w:after="200"/>
        <w:jc w:val="both"/>
        <w:rPr>
          <w:sz w:val="20"/>
          <w:szCs w:val="20"/>
        </w:rPr>
      </w:pPr>
      <w:r>
        <w:rPr>
          <w:sz w:val="20"/>
          <w:szCs w:val="20"/>
        </w:rPr>
        <w:t xml:space="preserve">Application Form— contains administrative information about the participants (future coordinator, beneficiaries and affiliated entities), and the technical description of the project </w:t>
      </w:r>
    </w:p>
    <w:p w14:paraId="49FBA476" w14:textId="77777777" w:rsidR="00855A5C" w:rsidRDefault="00F833A3">
      <w:pPr>
        <w:pStyle w:val="ListParagraph"/>
        <w:numPr>
          <w:ilvl w:val="0"/>
          <w:numId w:val="7"/>
        </w:numPr>
        <w:spacing w:after="200"/>
        <w:jc w:val="both"/>
        <w:rPr>
          <w:sz w:val="20"/>
          <w:szCs w:val="20"/>
        </w:rPr>
      </w:pPr>
      <w:r>
        <w:rPr>
          <w:sz w:val="20"/>
          <w:szCs w:val="20"/>
        </w:rPr>
        <w:t>annexes and supporting documents:</w:t>
      </w:r>
    </w:p>
    <w:p w14:paraId="55E1101E" w14:textId="77777777" w:rsidR="00855A5C" w:rsidRDefault="00F833A3">
      <w:pPr>
        <w:pStyle w:val="Default"/>
        <w:numPr>
          <w:ilvl w:val="1"/>
          <w:numId w:val="7"/>
        </w:numPr>
        <w:spacing w:after="120"/>
        <w:rPr>
          <w:rFonts w:ascii="Verdana" w:hAnsi="Verdana"/>
          <w:sz w:val="20"/>
          <w:szCs w:val="20"/>
        </w:rPr>
      </w:pPr>
      <w:r>
        <w:rPr>
          <w:rFonts w:ascii="Verdana" w:hAnsi="Verdana"/>
          <w:sz w:val="20"/>
          <w:szCs w:val="20"/>
        </w:rPr>
        <w:t>general budget overview (based on the model published with this call)</w:t>
      </w:r>
    </w:p>
    <w:p w14:paraId="36343327" w14:textId="77777777" w:rsidR="00855A5C" w:rsidRDefault="00F833A3">
      <w:pPr>
        <w:pStyle w:val="Default"/>
        <w:numPr>
          <w:ilvl w:val="1"/>
          <w:numId w:val="7"/>
        </w:numPr>
        <w:spacing w:after="120"/>
        <w:rPr>
          <w:rFonts w:ascii="Verdana" w:hAnsi="Verdana"/>
          <w:sz w:val="20"/>
          <w:szCs w:val="20"/>
        </w:rPr>
      </w:pPr>
      <w:r>
        <w:rPr>
          <w:rFonts w:ascii="Verdana" w:hAnsi="Verdana"/>
          <w:sz w:val="20"/>
          <w:szCs w:val="20"/>
        </w:rPr>
        <w:t>detailed budget table per WP (based on the model published with this call)</w:t>
      </w:r>
    </w:p>
    <w:p w14:paraId="0B9B3A5C" w14:textId="77777777" w:rsidR="00855A5C" w:rsidRDefault="00F833A3">
      <w:pPr>
        <w:pStyle w:val="Default"/>
        <w:numPr>
          <w:ilvl w:val="1"/>
          <w:numId w:val="7"/>
        </w:numPr>
        <w:spacing w:after="120"/>
        <w:rPr>
          <w:rFonts w:ascii="Verdana" w:hAnsi="Verdana"/>
          <w:sz w:val="20"/>
          <w:szCs w:val="20"/>
        </w:rPr>
      </w:pPr>
      <w:r>
        <w:rPr>
          <w:rFonts w:ascii="Verdana" w:hAnsi="Verdana"/>
          <w:sz w:val="20"/>
          <w:szCs w:val="20"/>
        </w:rPr>
        <w:t>timetable/Gantt chart (</w:t>
      </w:r>
      <w:r>
        <w:t>based on the model published with this call)</w:t>
      </w:r>
    </w:p>
    <w:p w14:paraId="5D1A9112" w14:textId="77777777" w:rsidR="00855A5C" w:rsidRDefault="00F833A3">
      <w:pPr>
        <w:pStyle w:val="Text1"/>
        <w:tabs>
          <w:tab w:val="clear" w:pos="2160"/>
        </w:tabs>
        <w:ind w:left="0"/>
      </w:pPr>
      <w:r>
        <w:t xml:space="preserve">Your application must be </w:t>
      </w:r>
      <w:r>
        <w:rPr>
          <w:b/>
          <w:bCs/>
        </w:rPr>
        <w:t>readable</w:t>
      </w:r>
      <w:r>
        <w:t xml:space="preserve">, </w:t>
      </w:r>
      <w:r>
        <w:rPr>
          <w:b/>
          <w:bCs/>
        </w:rPr>
        <w:t>accessible and</w:t>
      </w:r>
      <w:r>
        <w:t xml:space="preserve"> </w:t>
      </w:r>
      <w:r>
        <w:rPr>
          <w:b/>
          <w:bCs/>
        </w:rPr>
        <w:t>printable</w:t>
      </w:r>
      <w:r>
        <w:t>.</w:t>
      </w:r>
    </w:p>
    <w:p w14:paraId="5F3C3B79" w14:textId="77777777" w:rsidR="00855A5C" w:rsidRDefault="00F833A3">
      <w:pPr>
        <w:pStyle w:val="Body"/>
      </w:pPr>
      <w:r>
        <w:t xml:space="preserve">You may be asked at a later stage for further documents </w:t>
      </w:r>
      <w:r>
        <w:rPr>
          <w:i/>
          <w:iCs/>
        </w:rPr>
        <w:t>(for legal entity validation, financial capacity check, bank account validation, etc.)</w:t>
      </w:r>
      <w:r>
        <w:t>.</w:t>
      </w:r>
    </w:p>
    <w:p w14:paraId="24C28C4A" w14:textId="77777777" w:rsidR="00855A5C" w:rsidRDefault="00F833A3">
      <w:pPr>
        <w:pStyle w:val="Heading"/>
      </w:pPr>
      <w:bookmarkStart w:id="6" w:name="_Toc110874543"/>
      <w:r>
        <w:rPr>
          <w:rFonts w:eastAsia="Arial Unicode MS" w:cs="Arial Unicode MS"/>
          <w:lang w:val="en-US"/>
        </w:rPr>
        <w:t>6. Eligibility</w:t>
      </w:r>
      <w:bookmarkEnd w:id="6"/>
      <w:r>
        <w:rPr>
          <w:rFonts w:eastAsia="Arial Unicode MS" w:cs="Arial Unicode MS"/>
          <w:lang w:val="en-US"/>
        </w:rPr>
        <w:t xml:space="preserve"> </w:t>
      </w:r>
    </w:p>
    <w:p w14:paraId="568CCBF9" w14:textId="77777777" w:rsidR="00855A5C" w:rsidRDefault="00F833A3">
      <w:pPr>
        <w:pStyle w:val="Heading3"/>
      </w:pPr>
      <w:r>
        <w:rPr>
          <w:rFonts w:eastAsia="Arial Unicode MS" w:cs="Arial Unicode MS"/>
          <w:lang w:val="en-US"/>
        </w:rPr>
        <w:t>Eligible applicants (eligible countries)</w:t>
      </w:r>
    </w:p>
    <w:p w14:paraId="7279E82B" w14:textId="076252C4" w:rsidR="00855A5C" w:rsidRDefault="00F833A3">
      <w:pPr>
        <w:pStyle w:val="Heading3"/>
        <w:rPr>
          <w:i w:val="0"/>
          <w:iCs w:val="0"/>
          <w:color w:val="000000"/>
          <w:u w:val="none" w:color="000000"/>
        </w:rPr>
      </w:pPr>
      <w:r>
        <w:rPr>
          <w:rFonts w:eastAsia="Arial Unicode MS" w:cs="Arial Unicode MS"/>
          <w:i w:val="0"/>
          <w:iCs w:val="0"/>
          <w:color w:val="000000"/>
          <w:u w:val="none" w:color="000000"/>
          <w:lang w:val="en-US"/>
        </w:rPr>
        <w:t xml:space="preserve">According to section 9 of the Work </w:t>
      </w:r>
      <w:proofErr w:type="spellStart"/>
      <w:r>
        <w:rPr>
          <w:rFonts w:eastAsia="Arial Unicode MS" w:cs="Arial Unicode MS"/>
          <w:i w:val="0"/>
          <w:iCs w:val="0"/>
          <w:color w:val="000000"/>
          <w:u w:val="none" w:color="000000"/>
          <w:lang w:val="en-US"/>
        </w:rPr>
        <w:t>Programme</w:t>
      </w:r>
      <w:proofErr w:type="spellEnd"/>
      <w:r>
        <w:rPr>
          <w:rFonts w:eastAsia="Arial Unicode MS" w:cs="Arial Unicode MS"/>
          <w:i w:val="0"/>
          <w:iCs w:val="0"/>
          <w:color w:val="000000"/>
          <w:u w:val="none" w:color="000000"/>
          <w:lang w:val="en-US"/>
        </w:rPr>
        <w:t xml:space="preserve"> applications to this call are restricted to </w:t>
      </w:r>
      <w:r w:rsidR="008D7830">
        <w:rPr>
          <w:rFonts w:eastAsia="Arial Unicode MS" w:cs="Arial Unicode MS"/>
          <w:i w:val="0"/>
          <w:iCs w:val="0"/>
          <w:color w:val="000000"/>
          <w:u w:val="none" w:color="000000"/>
          <w:lang w:val="en-US"/>
        </w:rPr>
        <w:t xml:space="preserve">national </w:t>
      </w:r>
      <w:r w:rsidR="00E6797C">
        <w:rPr>
          <w:rFonts w:eastAsia="Arial Unicode MS" w:cs="Arial Unicode MS"/>
          <w:i w:val="0"/>
          <w:iCs w:val="0"/>
          <w:color w:val="000000"/>
          <w:u w:val="none" w:color="000000"/>
          <w:lang w:val="en-US"/>
        </w:rPr>
        <w:t>M</w:t>
      </w:r>
      <w:r w:rsidR="008D7830">
        <w:rPr>
          <w:rFonts w:eastAsia="Arial Unicode MS" w:cs="Arial Unicode MS"/>
          <w:i w:val="0"/>
          <w:iCs w:val="0"/>
          <w:color w:val="000000"/>
          <w:u w:val="none" w:color="000000"/>
          <w:lang w:val="en-US"/>
        </w:rPr>
        <w:t xml:space="preserve">inistries, </w:t>
      </w:r>
      <w:r w:rsidR="00C60A9E">
        <w:rPr>
          <w:rFonts w:eastAsia="Arial Unicode MS" w:cs="Arial Unicode MS"/>
          <w:i w:val="0"/>
          <w:iCs w:val="0"/>
          <w:color w:val="000000"/>
          <w:u w:val="none" w:color="000000"/>
          <w:lang w:val="en-US"/>
        </w:rPr>
        <w:t>road safety a</w:t>
      </w:r>
      <w:r>
        <w:rPr>
          <w:rFonts w:eastAsia="Arial Unicode MS" w:cs="Arial Unicode MS"/>
          <w:i w:val="0"/>
          <w:iCs w:val="0"/>
          <w:color w:val="000000"/>
          <w:u w:val="none" w:color="000000"/>
          <w:lang w:val="en-US"/>
        </w:rPr>
        <w:t>gencies</w:t>
      </w:r>
      <w:r w:rsidR="008D7830">
        <w:rPr>
          <w:rFonts w:eastAsia="Arial Unicode MS" w:cs="Arial Unicode MS"/>
          <w:i w:val="0"/>
          <w:iCs w:val="0"/>
          <w:color w:val="000000"/>
          <w:u w:val="none" w:color="000000"/>
          <w:lang w:val="en-US"/>
        </w:rPr>
        <w:t xml:space="preserve"> and road-safety related research </w:t>
      </w:r>
      <w:proofErr w:type="spellStart"/>
      <w:r w:rsidR="00E6797C">
        <w:rPr>
          <w:rFonts w:eastAsia="Arial Unicode MS" w:cs="Arial Unicode MS"/>
          <w:i w:val="0"/>
          <w:iCs w:val="0"/>
          <w:color w:val="000000"/>
          <w:u w:val="none" w:color="000000"/>
          <w:lang w:val="en-US"/>
        </w:rPr>
        <w:t>organisations</w:t>
      </w:r>
      <w:proofErr w:type="spellEnd"/>
      <w:r>
        <w:rPr>
          <w:rFonts w:eastAsia="Arial Unicode MS" w:cs="Arial Unicode MS"/>
          <w:i w:val="0"/>
          <w:iCs w:val="0"/>
          <w:color w:val="000000"/>
          <w:u w:val="none" w:color="000000"/>
          <w:lang w:val="en-US"/>
        </w:rPr>
        <w:t xml:space="preserve"> or </w:t>
      </w:r>
      <w:r w:rsidR="00BA134B">
        <w:rPr>
          <w:rFonts w:eastAsia="Arial Unicode MS" w:cs="Arial Unicode MS"/>
          <w:i w:val="0"/>
          <w:iCs w:val="0"/>
          <w:color w:val="000000"/>
          <w:u w:val="none" w:color="000000"/>
          <w:lang w:val="en-US"/>
        </w:rPr>
        <w:t xml:space="preserve">similar </w:t>
      </w:r>
      <w:r>
        <w:rPr>
          <w:rFonts w:eastAsia="Arial Unicode MS" w:cs="Arial Unicode MS"/>
          <w:i w:val="0"/>
          <w:iCs w:val="0"/>
          <w:color w:val="000000"/>
          <w:u w:val="none" w:color="000000"/>
          <w:lang w:val="en-US"/>
        </w:rPr>
        <w:t>bodies as defined by the EU Member States.</w:t>
      </w:r>
    </w:p>
    <w:p w14:paraId="49CCBC39" w14:textId="77777777" w:rsidR="00855A5C" w:rsidRDefault="00F833A3">
      <w:pPr>
        <w:pStyle w:val="Heading3"/>
        <w:rPr>
          <w:spacing w:val="-2"/>
        </w:rPr>
      </w:pPr>
      <w:r>
        <w:rPr>
          <w:rFonts w:eastAsia="Arial Unicode MS" w:cs="Arial Unicode MS"/>
          <w:i w:val="0"/>
          <w:iCs w:val="0"/>
        </w:rPr>
        <w:t xml:space="preserve"> </w:t>
      </w:r>
      <w:r>
        <w:rPr>
          <w:rFonts w:eastAsia="Arial Unicode MS" w:cs="Arial Unicode MS"/>
          <w:lang w:val="pt-PT"/>
        </w:rPr>
        <w:t xml:space="preserve"> Consortium </w:t>
      </w:r>
      <w:proofErr w:type="spellStart"/>
      <w:r>
        <w:rPr>
          <w:rFonts w:eastAsia="Arial Unicode MS" w:cs="Arial Unicode MS"/>
          <w:lang w:val="pt-PT"/>
        </w:rPr>
        <w:t>composition</w:t>
      </w:r>
      <w:proofErr w:type="spellEnd"/>
    </w:p>
    <w:p w14:paraId="4E5DA143" w14:textId="4FCF409A" w:rsidR="00855A5C" w:rsidRDefault="00F833A3">
      <w:pPr>
        <w:pStyle w:val="Body"/>
        <w:widowControl w:val="0"/>
      </w:pPr>
      <w:r>
        <w:t>Proposals must be submitted by a consortium composed of a minimum of</w:t>
      </w:r>
      <w:r w:rsidR="00C60A9E">
        <w:t xml:space="preserve"> fourteen EU Member States (national Ministries, road safety a</w:t>
      </w:r>
      <w:r>
        <w:t xml:space="preserve">gencies </w:t>
      </w:r>
      <w:r w:rsidR="00C60A9E">
        <w:t xml:space="preserve">and road-safety related research </w:t>
      </w:r>
      <w:proofErr w:type="spellStart"/>
      <w:r w:rsidR="00C60A9E">
        <w:t>organisations</w:t>
      </w:r>
      <w:proofErr w:type="spellEnd"/>
      <w:r w:rsidR="00C60A9E">
        <w:t xml:space="preserve"> </w:t>
      </w:r>
      <w:r>
        <w:t>or similar bodies as defined by EU Member States</w:t>
      </w:r>
      <w:r w:rsidR="00C60A9E">
        <w:t>)</w:t>
      </w:r>
      <w:r>
        <w:t>.</w:t>
      </w:r>
      <w:r>
        <w:rPr>
          <w:b/>
          <w:bCs/>
          <w:i/>
          <w:iCs/>
          <w:color w:val="4AA55B"/>
          <w:u w:color="4AA55B"/>
        </w:rPr>
        <w:t xml:space="preserve"> </w:t>
      </w:r>
    </w:p>
    <w:p w14:paraId="790056E9" w14:textId="77777777" w:rsidR="00855A5C" w:rsidRDefault="00F833A3">
      <w:pPr>
        <w:pStyle w:val="Heading3"/>
      </w:pPr>
      <w:r>
        <w:rPr>
          <w:rFonts w:eastAsia="Arial Unicode MS" w:cs="Arial Unicode MS"/>
          <w:lang w:val="en-US"/>
        </w:rPr>
        <w:t>Eligible activities</w:t>
      </w:r>
    </w:p>
    <w:p w14:paraId="1D13251A" w14:textId="77777777" w:rsidR="00855A5C" w:rsidRDefault="00F833A3">
      <w:pPr>
        <w:pStyle w:val="Body"/>
      </w:pPr>
      <w:r>
        <w:t>Eligible activities are the ones set out in section 2 above.</w:t>
      </w:r>
    </w:p>
    <w:p w14:paraId="0283250D" w14:textId="77777777" w:rsidR="00855A5C" w:rsidRDefault="00F833A3">
      <w:pPr>
        <w:pStyle w:val="Body"/>
      </w:pPr>
      <w:r>
        <w:lastRenderedPageBreak/>
        <w:t xml:space="preserve">The following activities are </w:t>
      </w:r>
      <w:r>
        <w:rPr>
          <w:u w:val="single"/>
        </w:rPr>
        <w:t>not</w:t>
      </w:r>
      <w:r>
        <w:t xml:space="preserve"> considered as eligible for funding under this invitation:</w:t>
      </w:r>
    </w:p>
    <w:p w14:paraId="7C310596" w14:textId="77777777" w:rsidR="00855A5C" w:rsidRDefault="00F833A3">
      <w:pPr>
        <w:pStyle w:val="Body"/>
      </w:pPr>
      <w:r>
        <w:t>− Language trainings;</w:t>
      </w:r>
    </w:p>
    <w:p w14:paraId="7FB04F97" w14:textId="77777777" w:rsidR="00855A5C" w:rsidRDefault="00F833A3">
      <w:pPr>
        <w:pStyle w:val="Body"/>
      </w:pPr>
      <w:r>
        <w:t>− General study tours to other Member States;</w:t>
      </w:r>
    </w:p>
    <w:p w14:paraId="29EA4D9E" w14:textId="77777777" w:rsidR="00855A5C" w:rsidRDefault="00F833A3">
      <w:pPr>
        <w:pStyle w:val="Body"/>
      </w:pPr>
      <w:r>
        <w:t>− Activities related to the preparation and monitoring of CEF/EFSI/ESIF (European Structural and Investment Funds) projects which are attributable to individual projects and are covered from other EU sources (e.g. translation of CEF specific applications, individual financial statements/ audits of each CEF funded project, projects funded from ESIF)</w:t>
      </w:r>
    </w:p>
    <w:p w14:paraId="1CB06052" w14:textId="77777777" w:rsidR="00855A5C" w:rsidRDefault="00F833A3">
      <w:pPr>
        <w:pStyle w:val="Body"/>
      </w:pPr>
      <w:r>
        <w:t xml:space="preserve">(However, the certificate on the financial statement required for the payment of the balance of this </w:t>
      </w:r>
      <w:proofErr w:type="spellStart"/>
      <w:r>
        <w:t>Programme</w:t>
      </w:r>
      <w:proofErr w:type="spellEnd"/>
      <w:r>
        <w:t xml:space="preserve"> Support Action is an eligible cost);</w:t>
      </w:r>
    </w:p>
    <w:p w14:paraId="356BECED" w14:textId="477BD5C6" w:rsidR="00855A5C" w:rsidRDefault="00F833A3">
      <w:pPr>
        <w:pStyle w:val="Body"/>
      </w:pPr>
      <w:r>
        <w:t xml:space="preserve">− Project-related activities which are eligible under </w:t>
      </w:r>
      <w:r w:rsidR="00C73725">
        <w:t xml:space="preserve">other </w:t>
      </w:r>
      <w:r>
        <w:t>CEF calls;</w:t>
      </w:r>
    </w:p>
    <w:p w14:paraId="086D1059" w14:textId="77777777" w:rsidR="00855A5C" w:rsidRDefault="00F833A3">
      <w:pPr>
        <w:pStyle w:val="Body"/>
      </w:pPr>
      <w:r>
        <w:t xml:space="preserve">− All activities funded from the EU budget under different Technical Assistance or from different co-funded EU </w:t>
      </w:r>
      <w:proofErr w:type="spellStart"/>
      <w:r>
        <w:t>Programmes</w:t>
      </w:r>
      <w:proofErr w:type="spellEnd"/>
      <w:r>
        <w:t>;</w:t>
      </w:r>
    </w:p>
    <w:p w14:paraId="5B18EE69" w14:textId="77777777" w:rsidR="00855A5C" w:rsidRDefault="00F833A3">
      <w:pPr>
        <w:pStyle w:val="Body"/>
      </w:pPr>
      <w:r>
        <w:t xml:space="preserve">− Supplies of souvenirs, other than publication material (guidelines, brochures, guide to applicants </w:t>
      </w:r>
      <w:proofErr w:type="spellStart"/>
      <w:r>
        <w:t>etc</w:t>
      </w:r>
      <w:proofErr w:type="spellEnd"/>
      <w:r>
        <w:t>);</w:t>
      </w:r>
    </w:p>
    <w:p w14:paraId="667F284E" w14:textId="77777777" w:rsidR="00855A5C" w:rsidRDefault="00F833A3">
      <w:pPr>
        <w:pStyle w:val="Body"/>
      </w:pPr>
      <w:r>
        <w:t>− Travel expenditure related to general study tours to other Member States;</w:t>
      </w:r>
    </w:p>
    <w:p w14:paraId="373A2356" w14:textId="77777777" w:rsidR="00855A5C" w:rsidRDefault="00F833A3">
      <w:pPr>
        <w:pStyle w:val="Body"/>
      </w:pPr>
      <w:r>
        <w:t>− Lobbying.</w:t>
      </w:r>
    </w:p>
    <w:p w14:paraId="4C6A5C67" w14:textId="77777777" w:rsidR="00855A5C" w:rsidRDefault="00F833A3">
      <w:pPr>
        <w:pStyle w:val="Body"/>
      </w:pPr>
      <w:r>
        <w:t xml:space="preserve">Projects should take into account the results of projects supported by other EU funding </w:t>
      </w:r>
      <w:proofErr w:type="spellStart"/>
      <w:r>
        <w:t>programmes</w:t>
      </w:r>
      <w:proofErr w:type="spellEnd"/>
      <w:r>
        <w:t>. The complementarities must be described in the project proposals (Part B of the Application Form).</w:t>
      </w:r>
    </w:p>
    <w:p w14:paraId="2767C42B" w14:textId="77777777" w:rsidR="00855A5C" w:rsidRDefault="00F833A3">
      <w:pPr>
        <w:pStyle w:val="Body"/>
      </w:pPr>
      <w:r>
        <w:t xml:space="preserve">Projects must comply with EU policy interests and priorities </w:t>
      </w:r>
      <w:r>
        <w:rPr>
          <w:i/>
          <w:iCs/>
        </w:rPr>
        <w:t>(such as environment, social, security, industrial and trade policy, etc.)</w:t>
      </w:r>
      <w:r>
        <w:t>.</w:t>
      </w:r>
    </w:p>
    <w:p w14:paraId="52DD7CE9" w14:textId="77777777" w:rsidR="00855A5C" w:rsidRDefault="00F833A3">
      <w:pPr>
        <w:pStyle w:val="Body"/>
      </w:pPr>
      <w:r>
        <w:t>Financial support to third parties is not allowed</w:t>
      </w:r>
      <w:r>
        <w:rPr>
          <w:color w:val="FF0000"/>
          <w:u w:color="FF0000"/>
        </w:rPr>
        <w:t>.</w:t>
      </w:r>
    </w:p>
    <w:p w14:paraId="160DE7F0" w14:textId="77777777" w:rsidR="00855A5C" w:rsidRDefault="00F833A3">
      <w:pPr>
        <w:pStyle w:val="Heading3"/>
      </w:pPr>
      <w:r>
        <w:rPr>
          <w:rFonts w:eastAsia="Arial Unicode MS" w:cs="Arial Unicode MS"/>
          <w:lang w:val="en-US"/>
        </w:rPr>
        <w:t>Geographic location (target countries)</w:t>
      </w:r>
    </w:p>
    <w:p w14:paraId="2E87AE3E" w14:textId="77777777" w:rsidR="00855A5C" w:rsidRDefault="00F833A3">
      <w:pPr>
        <w:pStyle w:val="Heading3"/>
        <w:rPr>
          <w:i w:val="0"/>
          <w:iCs w:val="0"/>
          <w:color w:val="000000"/>
          <w:u w:val="none" w:color="000000"/>
        </w:rPr>
      </w:pPr>
      <w:r>
        <w:rPr>
          <w:rFonts w:eastAsia="Arial Unicode MS" w:cs="Arial Unicode MS"/>
          <w:i w:val="0"/>
          <w:iCs w:val="0"/>
          <w:color w:val="000000"/>
          <w:u w:val="none" w:color="000000"/>
          <w:lang w:val="en-US"/>
        </w:rPr>
        <w:t>Proposals must relate to activities taking place in the eligible countries (see above).</w:t>
      </w:r>
    </w:p>
    <w:p w14:paraId="26344203" w14:textId="77777777" w:rsidR="00855A5C" w:rsidRDefault="00F833A3">
      <w:pPr>
        <w:pStyle w:val="Heading3"/>
      </w:pPr>
      <w:r w:rsidRPr="00E26546">
        <w:rPr>
          <w:rFonts w:eastAsia="Arial Unicode MS" w:cs="Arial Unicode MS"/>
          <w:lang w:val="en-IE"/>
        </w:rPr>
        <w:t>Duration</w:t>
      </w:r>
    </w:p>
    <w:p w14:paraId="3DD53D7D" w14:textId="77777777" w:rsidR="00855A5C" w:rsidRDefault="00F833A3">
      <w:pPr>
        <w:pStyle w:val="Text3"/>
        <w:ind w:left="0"/>
      </w:pPr>
      <w:r>
        <w:t>The project should normally have a duration between 24 and 36 months (extensions are possible, if duly justified and through an amendment).</w:t>
      </w:r>
    </w:p>
    <w:p w14:paraId="38A4BA6E" w14:textId="77777777" w:rsidR="00855A5C" w:rsidRDefault="00855A5C">
      <w:pPr>
        <w:pStyle w:val="Text3"/>
        <w:ind w:left="0"/>
      </w:pPr>
    </w:p>
    <w:p w14:paraId="2290D585" w14:textId="77777777" w:rsidR="00855A5C" w:rsidRDefault="00F833A3">
      <w:pPr>
        <w:pStyle w:val="Heading"/>
      </w:pPr>
      <w:bookmarkStart w:id="7" w:name="_Toc110874544"/>
      <w:r>
        <w:rPr>
          <w:rFonts w:eastAsia="Arial Unicode MS" w:cs="Arial Unicode MS"/>
          <w:lang w:val="en-US"/>
        </w:rPr>
        <w:t>7. Financial and operational capacity and exclusion</w:t>
      </w:r>
      <w:bookmarkEnd w:id="7"/>
    </w:p>
    <w:p w14:paraId="295C14B4" w14:textId="77777777" w:rsidR="00855A5C" w:rsidRDefault="00F833A3">
      <w:pPr>
        <w:pStyle w:val="Heading3"/>
      </w:pPr>
      <w:r>
        <w:rPr>
          <w:rFonts w:eastAsia="Arial Unicode MS" w:cs="Arial Unicode MS"/>
          <w:lang w:val="it-IT"/>
        </w:rPr>
        <w:t xml:space="preserve">Financial </w:t>
      </w:r>
      <w:proofErr w:type="spellStart"/>
      <w:r>
        <w:rPr>
          <w:rFonts w:eastAsia="Arial Unicode MS" w:cs="Arial Unicode MS"/>
          <w:lang w:val="it-IT"/>
        </w:rPr>
        <w:t>capacity</w:t>
      </w:r>
      <w:proofErr w:type="spellEnd"/>
    </w:p>
    <w:p w14:paraId="4C92F882" w14:textId="77777777" w:rsidR="00855A5C" w:rsidRDefault="00F833A3">
      <w:pPr>
        <w:pStyle w:val="Body"/>
      </w:pPr>
      <w:r>
        <w:t xml:space="preserve">Applicants must have </w:t>
      </w:r>
      <w:r>
        <w:rPr>
          <w:b/>
          <w:bCs/>
        </w:rPr>
        <w:t>stable and sufficient resources</w:t>
      </w:r>
      <w:r>
        <w:t xml:space="preserve"> to successfully implement the projects and contribute their share. </w:t>
      </w:r>
      <w:proofErr w:type="spellStart"/>
      <w:r>
        <w:t>Organisations</w:t>
      </w:r>
      <w:proofErr w:type="spellEnd"/>
      <w:r>
        <w:t xml:space="preserve"> participating in several projects must have sufficient capacity to implement all these projects.</w:t>
      </w:r>
    </w:p>
    <w:p w14:paraId="3D547921" w14:textId="77777777" w:rsidR="00855A5C" w:rsidRDefault="00F833A3">
      <w:pPr>
        <w:pStyle w:val="Body"/>
      </w:pPr>
      <w:r>
        <w:t xml:space="preserve">The financial capacity check will be carried out on the basis of the documents you will be requested to provide during grant preparation </w:t>
      </w:r>
      <w:r>
        <w:rPr>
          <w:i/>
          <w:iCs/>
        </w:rPr>
        <w:t xml:space="preserve">(e.g. profit and loss account and balance sheet, business plan, audit report produced by an approved external auditor, certifying the accounts for the last closed financial year, </w:t>
      </w:r>
      <w:proofErr w:type="spellStart"/>
      <w:r>
        <w:rPr>
          <w:i/>
          <w:iCs/>
        </w:rPr>
        <w:t>etc</w:t>
      </w:r>
      <w:proofErr w:type="spellEnd"/>
      <w:r>
        <w:rPr>
          <w:i/>
          <w:iCs/>
        </w:rPr>
        <w:t>)</w:t>
      </w:r>
      <w:r>
        <w:t xml:space="preserve">. </w:t>
      </w:r>
    </w:p>
    <w:p w14:paraId="6CB7C206" w14:textId="77777777" w:rsidR="00855A5C" w:rsidRDefault="00F833A3">
      <w:pPr>
        <w:pStyle w:val="Body"/>
        <w:spacing w:after="120"/>
      </w:pPr>
      <w:r>
        <w:t xml:space="preserve">The check will normally be done for all beneficiaries, except: </w:t>
      </w:r>
    </w:p>
    <w:p w14:paraId="609B549E" w14:textId="77777777" w:rsidR="00855A5C" w:rsidRDefault="00F833A3">
      <w:pPr>
        <w:pStyle w:val="Body"/>
        <w:widowControl w:val="0"/>
        <w:numPr>
          <w:ilvl w:val="0"/>
          <w:numId w:val="9"/>
        </w:numPr>
        <w:spacing w:after="120"/>
        <w:jc w:val="left"/>
      </w:pPr>
      <w:r>
        <w:lastRenderedPageBreak/>
        <w:t xml:space="preserve">public bodies (entities established as public body under national law, including local, regional or national authorities) or international </w:t>
      </w:r>
      <w:proofErr w:type="spellStart"/>
      <w:r>
        <w:t>organisations</w:t>
      </w:r>
      <w:proofErr w:type="spellEnd"/>
      <w:r>
        <w:t xml:space="preserve"> </w:t>
      </w:r>
    </w:p>
    <w:p w14:paraId="420A15BA" w14:textId="77777777" w:rsidR="00855A5C" w:rsidRDefault="00F833A3">
      <w:pPr>
        <w:pStyle w:val="Body"/>
        <w:widowControl w:val="0"/>
        <w:numPr>
          <w:ilvl w:val="0"/>
          <w:numId w:val="10"/>
        </w:numPr>
      </w:pPr>
      <w:proofErr w:type="gramStart"/>
      <w:r>
        <w:t>if</w:t>
      </w:r>
      <w:proofErr w:type="gramEnd"/>
      <w:r>
        <w:t xml:space="preserve"> the individual requested grant amount is not more than EUR 60 000.</w:t>
      </w:r>
    </w:p>
    <w:p w14:paraId="17F062BB" w14:textId="77777777" w:rsidR="00855A5C" w:rsidRDefault="00F833A3">
      <w:pPr>
        <w:pStyle w:val="Body"/>
      </w:pPr>
      <w:r>
        <w:t>If needed, it may also be done for affiliated entities.</w:t>
      </w:r>
    </w:p>
    <w:p w14:paraId="7C085175" w14:textId="77777777" w:rsidR="00855A5C" w:rsidRDefault="00F833A3">
      <w:pPr>
        <w:pStyle w:val="Body"/>
        <w:spacing w:after="120"/>
      </w:pPr>
      <w:r>
        <w:t>If we consider that your financial capacity is not satisfactory, we may require:</w:t>
      </w:r>
    </w:p>
    <w:p w14:paraId="6629F82D" w14:textId="77777777" w:rsidR="00855A5C" w:rsidRDefault="00F833A3">
      <w:pPr>
        <w:pStyle w:val="Body"/>
        <w:widowControl w:val="0"/>
        <w:numPr>
          <w:ilvl w:val="0"/>
          <w:numId w:val="12"/>
        </w:numPr>
        <w:spacing w:after="120"/>
        <w:jc w:val="left"/>
      </w:pPr>
      <w:r>
        <w:t>further information</w:t>
      </w:r>
    </w:p>
    <w:p w14:paraId="7322CE28" w14:textId="77777777" w:rsidR="00855A5C" w:rsidRDefault="00F833A3">
      <w:pPr>
        <w:pStyle w:val="Body"/>
        <w:widowControl w:val="0"/>
        <w:numPr>
          <w:ilvl w:val="0"/>
          <w:numId w:val="12"/>
        </w:numPr>
        <w:spacing w:after="120"/>
        <w:jc w:val="left"/>
      </w:pPr>
      <w:r>
        <w:t xml:space="preserve">an enhanced financial responsibility regime, i.e. joint and several responsibility for all beneficiaries or joint and several liability of affiliated entities </w:t>
      </w:r>
      <w:r>
        <w:rPr>
          <w:i/>
          <w:iCs/>
        </w:rPr>
        <w:t>(see below, section 10)</w:t>
      </w:r>
    </w:p>
    <w:p w14:paraId="194BBF62" w14:textId="77777777" w:rsidR="00855A5C" w:rsidRDefault="00F833A3">
      <w:pPr>
        <w:pStyle w:val="Body"/>
        <w:widowControl w:val="0"/>
        <w:numPr>
          <w:ilvl w:val="0"/>
          <w:numId w:val="12"/>
        </w:numPr>
        <w:spacing w:after="120"/>
        <w:jc w:val="left"/>
      </w:pPr>
      <w:proofErr w:type="spellStart"/>
      <w:r>
        <w:t>prefinancing</w:t>
      </w:r>
      <w:proofErr w:type="spellEnd"/>
      <w:r>
        <w:t xml:space="preserve"> paid in instalments </w:t>
      </w:r>
    </w:p>
    <w:p w14:paraId="09F9C6FB" w14:textId="77777777" w:rsidR="00855A5C" w:rsidRDefault="00F833A3">
      <w:pPr>
        <w:pStyle w:val="Body"/>
        <w:widowControl w:val="0"/>
        <w:numPr>
          <w:ilvl w:val="0"/>
          <w:numId w:val="12"/>
        </w:numPr>
        <w:spacing w:after="120"/>
        <w:jc w:val="left"/>
      </w:pPr>
      <w:r>
        <w:t xml:space="preserve">(one or more) </w:t>
      </w:r>
      <w:proofErr w:type="spellStart"/>
      <w:r>
        <w:t>prefinancing</w:t>
      </w:r>
      <w:proofErr w:type="spellEnd"/>
      <w:r>
        <w:t xml:space="preserve"> guarantees </w:t>
      </w:r>
      <w:r>
        <w:rPr>
          <w:i/>
          <w:iCs/>
        </w:rPr>
        <w:t>(see below, section 10)</w:t>
      </w:r>
    </w:p>
    <w:p w14:paraId="4E533D63" w14:textId="77777777" w:rsidR="00855A5C" w:rsidRDefault="00F833A3">
      <w:pPr>
        <w:pStyle w:val="Body"/>
        <w:spacing w:after="120"/>
        <w:ind w:left="360"/>
      </w:pPr>
      <w:proofErr w:type="gramStart"/>
      <w:r>
        <w:t>or</w:t>
      </w:r>
      <w:proofErr w:type="gramEnd"/>
    </w:p>
    <w:p w14:paraId="6A66CD43" w14:textId="77777777" w:rsidR="00855A5C" w:rsidRDefault="00F833A3">
      <w:pPr>
        <w:pStyle w:val="Body"/>
        <w:widowControl w:val="0"/>
        <w:numPr>
          <w:ilvl w:val="0"/>
          <w:numId w:val="12"/>
        </w:numPr>
        <w:spacing w:after="120"/>
        <w:jc w:val="left"/>
      </w:pPr>
      <w:r>
        <w:t xml:space="preserve">propose no </w:t>
      </w:r>
      <w:proofErr w:type="spellStart"/>
      <w:r>
        <w:t>prefinancing</w:t>
      </w:r>
      <w:proofErr w:type="spellEnd"/>
    </w:p>
    <w:p w14:paraId="04DD7C6E" w14:textId="77777777" w:rsidR="00855A5C" w:rsidRDefault="00F833A3">
      <w:pPr>
        <w:pStyle w:val="Body"/>
        <w:widowControl w:val="0"/>
        <w:numPr>
          <w:ilvl w:val="0"/>
          <w:numId w:val="13"/>
        </w:numPr>
        <w:jc w:val="left"/>
      </w:pPr>
      <w:proofErr w:type="gramStart"/>
      <w:r>
        <w:t>request</w:t>
      </w:r>
      <w:proofErr w:type="gramEnd"/>
      <w:r>
        <w:t xml:space="preserve"> that you are replaced or, if needed, reject the entire proposal.</w:t>
      </w:r>
    </w:p>
    <w:p w14:paraId="3FFB2974" w14:textId="77777777" w:rsidR="00855A5C" w:rsidRDefault="00F833A3">
      <w:pPr>
        <w:pStyle w:val="Heading3"/>
      </w:pPr>
      <w:r>
        <w:rPr>
          <w:rFonts w:eastAsia="Arial Unicode MS" w:cs="Arial Unicode MS"/>
          <w:lang w:val="en-US"/>
        </w:rPr>
        <w:t>Operational capacity</w:t>
      </w:r>
    </w:p>
    <w:p w14:paraId="21722866" w14:textId="77777777" w:rsidR="00855A5C" w:rsidRDefault="00F833A3">
      <w:pPr>
        <w:pStyle w:val="Text3"/>
        <w:ind w:left="0"/>
      </w:pPr>
      <w:r>
        <w:t xml:space="preserve">Applicants must have the </w:t>
      </w:r>
      <w:r>
        <w:rPr>
          <w:b/>
          <w:bCs/>
        </w:rPr>
        <w:t xml:space="preserve">know-how, qualifications </w:t>
      </w:r>
      <w:r>
        <w:t>and</w:t>
      </w:r>
      <w:r>
        <w:rPr>
          <w:b/>
          <w:bCs/>
        </w:rPr>
        <w:t xml:space="preserve"> resources</w:t>
      </w:r>
      <w:r>
        <w:t xml:space="preserve"> to successfully implement the projects and contribute their share (including sufficient experience in projects of comparable size and nature). </w:t>
      </w:r>
    </w:p>
    <w:p w14:paraId="3384A20E" w14:textId="77777777" w:rsidR="00855A5C" w:rsidRDefault="00F833A3">
      <w:pPr>
        <w:pStyle w:val="Text3"/>
        <w:ind w:left="0"/>
      </w:pPr>
      <w:r>
        <w:t>This capacity will be assessed together with the ‘Quality’ award criterion, on the basis of the competence and experience of the applicants and their project teams, including operational resources (human, technical and other) or, exceptionally, the measures proposed to obtain it by the time the task implementation starts.</w:t>
      </w:r>
    </w:p>
    <w:p w14:paraId="0249B421" w14:textId="77777777" w:rsidR="00855A5C" w:rsidRDefault="00F833A3">
      <w:pPr>
        <w:pStyle w:val="Text3"/>
        <w:ind w:left="0"/>
      </w:pPr>
      <w:r>
        <w:t>If the evaluation of the award criterion is positive, the applicants are considered to have sufficient operational capacity.</w:t>
      </w:r>
    </w:p>
    <w:p w14:paraId="608FFC93" w14:textId="77777777" w:rsidR="00855A5C" w:rsidRDefault="00F833A3">
      <w:pPr>
        <w:pStyle w:val="Text3"/>
        <w:spacing w:after="120"/>
        <w:ind w:left="0"/>
      </w:pPr>
      <w:r>
        <w:t>Applicants will have to show their capacity via the following information:</w:t>
      </w:r>
    </w:p>
    <w:p w14:paraId="0ED98227" w14:textId="77777777" w:rsidR="00855A5C" w:rsidRDefault="00F833A3">
      <w:pPr>
        <w:pStyle w:val="Body"/>
        <w:widowControl w:val="0"/>
        <w:numPr>
          <w:ilvl w:val="0"/>
          <w:numId w:val="15"/>
        </w:numPr>
        <w:spacing w:after="120"/>
      </w:pPr>
      <w:r>
        <w:t>general profiles (qualifications and experiences) of the staff responsible for managing and implementing the project</w:t>
      </w:r>
    </w:p>
    <w:p w14:paraId="4962C81E" w14:textId="77777777" w:rsidR="00855A5C" w:rsidRDefault="00F833A3">
      <w:pPr>
        <w:pStyle w:val="Body"/>
        <w:widowControl w:val="0"/>
        <w:numPr>
          <w:ilvl w:val="0"/>
          <w:numId w:val="15"/>
        </w:numPr>
        <w:spacing w:after="120"/>
        <w:jc w:val="left"/>
      </w:pPr>
      <w:r>
        <w:t xml:space="preserve">description of the consortium participants </w:t>
      </w:r>
    </w:p>
    <w:p w14:paraId="6DA3F858" w14:textId="77777777" w:rsidR="00855A5C" w:rsidRDefault="00F833A3">
      <w:pPr>
        <w:pStyle w:val="Body"/>
        <w:widowControl w:val="0"/>
        <w:numPr>
          <w:ilvl w:val="0"/>
          <w:numId w:val="15"/>
        </w:numPr>
        <w:spacing w:after="120"/>
        <w:jc w:val="left"/>
      </w:pPr>
      <w:r>
        <w:t>applicants</w:t>
      </w:r>
      <w:r>
        <w:rPr>
          <w:rtl/>
        </w:rPr>
        <w:t xml:space="preserve">’ </w:t>
      </w:r>
      <w:r>
        <w:t>activity reports of last year</w:t>
      </w:r>
    </w:p>
    <w:p w14:paraId="467B32D1" w14:textId="77777777" w:rsidR="00855A5C" w:rsidRDefault="00F833A3">
      <w:pPr>
        <w:pStyle w:val="Text3"/>
        <w:ind w:left="0"/>
      </w:pPr>
      <w:r>
        <w:t>Additional supporting documents may be requested, if needed to confirm the operational capacity of any applicant.</w:t>
      </w:r>
    </w:p>
    <w:p w14:paraId="7F5956A9" w14:textId="04769118" w:rsidR="00855A5C" w:rsidRDefault="00F833A3">
      <w:pPr>
        <w:pStyle w:val="Text3"/>
        <w:ind w:left="0"/>
      </w:pPr>
      <w:r>
        <w:t xml:space="preserve">Public bodies, </w:t>
      </w:r>
      <w:r w:rsidR="00C60A9E">
        <w:t>road safety a</w:t>
      </w:r>
      <w:r w:rsidR="00BA134B">
        <w:t xml:space="preserve">gencies </w:t>
      </w:r>
      <w:r w:rsidR="00C60A9E">
        <w:rPr>
          <w:rFonts w:eastAsia="Arial Unicode MS" w:cs="Arial Unicode MS"/>
        </w:rPr>
        <w:t xml:space="preserve">and road-safety related research </w:t>
      </w:r>
      <w:proofErr w:type="spellStart"/>
      <w:r w:rsidR="00C60A9E">
        <w:rPr>
          <w:rFonts w:eastAsia="Arial Unicode MS" w:cs="Arial Unicode MS"/>
        </w:rPr>
        <w:t>organisations</w:t>
      </w:r>
      <w:proofErr w:type="spellEnd"/>
      <w:r w:rsidR="00C60A9E">
        <w:rPr>
          <w:rFonts w:eastAsia="Arial Unicode MS" w:cs="Arial Unicode MS"/>
        </w:rPr>
        <w:t xml:space="preserve"> </w:t>
      </w:r>
      <w:r w:rsidR="00C60A9E">
        <w:t>or similar bodies as defined by EU Member States</w:t>
      </w:r>
      <w:r w:rsidR="00C60A9E">
        <w:t xml:space="preserve"> </w:t>
      </w:r>
      <w:r w:rsidR="00BA134B">
        <w:t xml:space="preserve">and </w:t>
      </w:r>
      <w:bookmarkStart w:id="8" w:name="_GoBack"/>
      <w:bookmarkEnd w:id="8"/>
      <w:r>
        <w:t xml:space="preserve">international </w:t>
      </w:r>
      <w:proofErr w:type="spellStart"/>
      <w:r>
        <w:t>organisations</w:t>
      </w:r>
      <w:proofErr w:type="spellEnd"/>
      <w:r>
        <w:t xml:space="preserve"> are exempted from the operational capacity check. </w:t>
      </w:r>
    </w:p>
    <w:p w14:paraId="215E9053" w14:textId="77777777" w:rsidR="00855A5C" w:rsidRDefault="00F833A3">
      <w:pPr>
        <w:pStyle w:val="Heading3"/>
      </w:pPr>
      <w:r>
        <w:rPr>
          <w:rFonts w:eastAsia="Arial Unicode MS" w:cs="Arial Unicode MS"/>
        </w:rPr>
        <w:t>Exclusion</w:t>
      </w:r>
    </w:p>
    <w:p w14:paraId="43D38E9A" w14:textId="77777777" w:rsidR="00855A5C" w:rsidRDefault="00F833A3">
      <w:pPr>
        <w:pStyle w:val="Text1"/>
        <w:spacing w:after="120"/>
        <w:ind w:left="0"/>
        <w:rPr>
          <w:rStyle w:val="None"/>
        </w:rPr>
      </w:pPr>
      <w:r>
        <w:t xml:space="preserve">Applicants which are subject to an </w:t>
      </w:r>
      <w:r>
        <w:rPr>
          <w:b/>
          <w:bCs/>
        </w:rPr>
        <w:t>EU exclusion decision</w:t>
      </w:r>
      <w:r>
        <w:t xml:space="preserve"> or in one of the following </w:t>
      </w:r>
      <w:r>
        <w:rPr>
          <w:b/>
          <w:bCs/>
        </w:rPr>
        <w:t>exclusion situations</w:t>
      </w:r>
      <w:r>
        <w:t xml:space="preserve"> that bar them from receiving EU funding can NOT participate</w:t>
      </w:r>
      <w:r>
        <w:rPr>
          <w:vertAlign w:val="superscript"/>
        </w:rPr>
        <w:footnoteReference w:id="3"/>
      </w:r>
      <w:r>
        <w:rPr>
          <w:rStyle w:val="None"/>
        </w:rPr>
        <w:t>:</w:t>
      </w:r>
    </w:p>
    <w:p w14:paraId="26128A9B" w14:textId="77777777" w:rsidR="00855A5C" w:rsidRDefault="00F833A3">
      <w:pPr>
        <w:pStyle w:val="Body"/>
        <w:numPr>
          <w:ilvl w:val="3"/>
          <w:numId w:val="17"/>
        </w:numPr>
        <w:spacing w:after="120"/>
      </w:pPr>
      <w:r>
        <w:rPr>
          <w:rStyle w:val="None"/>
        </w:rPr>
        <w:lastRenderedPageBreak/>
        <w:t>bankruptcy, winding up, affairs administered by the courts, arrangement with creditors, suspended business activities or other similar procedures (including procedures for persons with unlimited liability for the applicant</w:t>
      </w:r>
      <w:r>
        <w:rPr>
          <w:rStyle w:val="None"/>
          <w:rtl/>
        </w:rPr>
        <w:t>’</w:t>
      </w:r>
      <w:r w:rsidRPr="00E26546">
        <w:rPr>
          <w:rStyle w:val="None"/>
          <w:lang w:val="en-IE"/>
        </w:rPr>
        <w:t>s debts)</w:t>
      </w:r>
    </w:p>
    <w:p w14:paraId="305C1BED" w14:textId="77777777" w:rsidR="00855A5C" w:rsidRDefault="00F833A3">
      <w:pPr>
        <w:pStyle w:val="Body"/>
        <w:numPr>
          <w:ilvl w:val="2"/>
          <w:numId w:val="19"/>
        </w:numPr>
        <w:spacing w:after="120"/>
      </w:pPr>
      <w:r>
        <w:rPr>
          <w:rStyle w:val="None"/>
        </w:rPr>
        <w:t>in breach of social security or tax obligations (including if done by persons with unlimited liability for the applicant</w:t>
      </w:r>
      <w:r>
        <w:rPr>
          <w:rStyle w:val="None"/>
          <w:rtl/>
        </w:rPr>
        <w:t>’</w:t>
      </w:r>
      <w:r w:rsidRPr="00E26546">
        <w:rPr>
          <w:rStyle w:val="None"/>
          <w:lang w:val="en-IE"/>
        </w:rPr>
        <w:t>s debts)</w:t>
      </w:r>
    </w:p>
    <w:p w14:paraId="58A80EBD" w14:textId="77777777" w:rsidR="00855A5C" w:rsidRDefault="00F833A3">
      <w:pPr>
        <w:pStyle w:val="Body"/>
        <w:numPr>
          <w:ilvl w:val="2"/>
          <w:numId w:val="19"/>
        </w:numPr>
        <w:spacing w:after="120"/>
      </w:pPr>
      <w:r>
        <w:rPr>
          <w:rStyle w:val="None"/>
        </w:rPr>
        <w:t>guilty of grave professional misconduct</w:t>
      </w:r>
      <w:r>
        <w:rPr>
          <w:rStyle w:val="None"/>
          <w:vertAlign w:val="superscript"/>
        </w:rPr>
        <w:footnoteReference w:id="4"/>
      </w:r>
      <w:r>
        <w:rPr>
          <w:rStyle w:val="None"/>
        </w:rPr>
        <w:t xml:space="preserve"> (including if done by persons having powers of representation, decision-making or control, beneficial owners or persons who are essential for the award/implementation of the grant) </w:t>
      </w:r>
    </w:p>
    <w:p w14:paraId="424A58FA" w14:textId="77777777" w:rsidR="00855A5C" w:rsidRDefault="00F833A3">
      <w:pPr>
        <w:pStyle w:val="Body"/>
        <w:numPr>
          <w:ilvl w:val="2"/>
          <w:numId w:val="19"/>
        </w:numPr>
        <w:spacing w:after="120"/>
      </w:pPr>
      <w:r>
        <w:rPr>
          <w:rStyle w:val="None"/>
        </w:rPr>
        <w:t xml:space="preserve">committed fraud, corruption, links to a criminal </w:t>
      </w:r>
      <w:proofErr w:type="spellStart"/>
      <w:r>
        <w:rPr>
          <w:rStyle w:val="None"/>
        </w:rPr>
        <w:t>organisation</w:t>
      </w:r>
      <w:proofErr w:type="spellEnd"/>
      <w:r>
        <w:rPr>
          <w:rStyle w:val="None"/>
        </w:rPr>
        <w:t xml:space="preserve">, money laundering, terrorism-related crimes (including terrorism financing), child </w:t>
      </w:r>
      <w:proofErr w:type="spellStart"/>
      <w:r>
        <w:rPr>
          <w:rStyle w:val="None"/>
        </w:rPr>
        <w:t>labour</w:t>
      </w:r>
      <w:proofErr w:type="spellEnd"/>
      <w:r>
        <w:rPr>
          <w:rStyle w:val="None"/>
        </w:rPr>
        <w:t xml:space="preserve"> or human trafficking (including if done by persons having powers of representation, decision-making or control, beneficial owners or persons who are essential for the award/implementation of the grant)</w:t>
      </w:r>
    </w:p>
    <w:p w14:paraId="39445360" w14:textId="3D5EFE45" w:rsidR="00855A5C" w:rsidRDefault="00F833A3">
      <w:pPr>
        <w:pStyle w:val="Body"/>
        <w:numPr>
          <w:ilvl w:val="1"/>
          <w:numId w:val="20"/>
        </w:numPr>
        <w:spacing w:after="120"/>
      </w:pPr>
      <w:r>
        <w:rPr>
          <w:rStyle w:val="None"/>
        </w:rPr>
        <w:t xml:space="preserve">shown significant deficiencies in complying with main obligations under an EU procurement contract, grant agreement, prize, expert contract, or similar (including if done by persons having powers of representation, </w:t>
      </w:r>
      <w:r w:rsidR="007C020C">
        <w:rPr>
          <w:rStyle w:val="None"/>
        </w:rPr>
        <w:t>decision-making</w:t>
      </w:r>
      <w:r>
        <w:rPr>
          <w:rStyle w:val="None"/>
        </w:rPr>
        <w:t xml:space="preserve"> or control, beneficial owners or persons who are essential for the award/implementation of the grant)</w:t>
      </w:r>
    </w:p>
    <w:p w14:paraId="0D3F5A94" w14:textId="10FD3C59" w:rsidR="00855A5C" w:rsidRDefault="00F833A3">
      <w:pPr>
        <w:pStyle w:val="Body"/>
        <w:numPr>
          <w:ilvl w:val="1"/>
          <w:numId w:val="20"/>
        </w:numPr>
      </w:pPr>
      <w:r>
        <w:rPr>
          <w:rStyle w:val="None"/>
        </w:rPr>
        <w:t xml:space="preserve">guilty of irregularities within the meaning of Article 1(2) of Regulation No </w:t>
      </w:r>
      <w:hyperlink r:id="rId19" w:history="1">
        <w:r>
          <w:rPr>
            <w:rStyle w:val="Link"/>
          </w:rPr>
          <w:t>2988/95</w:t>
        </w:r>
      </w:hyperlink>
      <w:r>
        <w:rPr>
          <w:rStyle w:val="None"/>
        </w:rPr>
        <w:t xml:space="preserve"> (including if done by persons having powers of representation, </w:t>
      </w:r>
      <w:r w:rsidR="007C020C">
        <w:rPr>
          <w:rStyle w:val="None"/>
        </w:rPr>
        <w:t>decision-making</w:t>
      </w:r>
      <w:r>
        <w:rPr>
          <w:rStyle w:val="None"/>
        </w:rPr>
        <w:t xml:space="preserve"> or control, beneficial owners or persons who are essential for the award/implementation of the grant)</w:t>
      </w:r>
    </w:p>
    <w:p w14:paraId="528284EE" w14:textId="6C845E5D" w:rsidR="00855A5C" w:rsidRDefault="00F833A3">
      <w:pPr>
        <w:pStyle w:val="Body"/>
        <w:numPr>
          <w:ilvl w:val="1"/>
          <w:numId w:val="20"/>
        </w:numPr>
      </w:pPr>
      <w:proofErr w:type="gramStart"/>
      <w:r>
        <w:rPr>
          <w:rStyle w:val="None"/>
        </w:rPr>
        <w:t>created</w:t>
      </w:r>
      <w:proofErr w:type="gramEnd"/>
      <w:r>
        <w:rPr>
          <w:rStyle w:val="None"/>
        </w:rPr>
        <w:t xml:space="preserve"> under a different jurisdiction with the intent to circumvent fiscal, social or other legal obligations in the country of origin or created another entity with this purpose (including if done by persons having powers of representation, </w:t>
      </w:r>
      <w:r w:rsidR="007C020C">
        <w:rPr>
          <w:rStyle w:val="None"/>
        </w:rPr>
        <w:t>decision-making</w:t>
      </w:r>
      <w:r>
        <w:rPr>
          <w:rStyle w:val="None"/>
        </w:rPr>
        <w:t xml:space="preserve"> or control, beneficial owners or persons who are essential for the award/implementation of the grant).</w:t>
      </w:r>
    </w:p>
    <w:p w14:paraId="74327BE5" w14:textId="77777777" w:rsidR="00855A5C" w:rsidRDefault="00F833A3">
      <w:pPr>
        <w:pStyle w:val="Body"/>
      </w:pPr>
      <w:r>
        <w:rPr>
          <w:rStyle w:val="None"/>
        </w:rPr>
        <w:t>Applicants will also be refused if it turns out that</w:t>
      </w:r>
      <w:r>
        <w:rPr>
          <w:rStyle w:val="None"/>
          <w:rFonts w:eastAsia="Verdana" w:cs="Verdana"/>
          <w:vertAlign w:val="superscript"/>
        </w:rPr>
        <w:footnoteReference w:id="5"/>
      </w:r>
      <w:r>
        <w:rPr>
          <w:rStyle w:val="None"/>
        </w:rPr>
        <w:t xml:space="preserve">: </w:t>
      </w:r>
    </w:p>
    <w:p w14:paraId="4FC7ED70" w14:textId="77777777" w:rsidR="00855A5C" w:rsidRDefault="00F833A3">
      <w:pPr>
        <w:pStyle w:val="Default"/>
        <w:numPr>
          <w:ilvl w:val="0"/>
          <w:numId w:val="22"/>
        </w:numPr>
        <w:rPr>
          <w:rFonts w:ascii="Verdana" w:hAnsi="Verdana"/>
          <w:sz w:val="20"/>
          <w:szCs w:val="20"/>
        </w:rPr>
      </w:pPr>
      <w:r>
        <w:rPr>
          <w:rStyle w:val="None"/>
          <w:rFonts w:ascii="Verdana" w:hAnsi="Verdana"/>
          <w:sz w:val="20"/>
          <w:szCs w:val="20"/>
        </w:rPr>
        <w:t xml:space="preserve">during the award procedure they misrepresented information required as a condition for participating or failed to supply that information </w:t>
      </w:r>
    </w:p>
    <w:p w14:paraId="43ECB53C" w14:textId="77777777" w:rsidR="00855A5C" w:rsidRDefault="00F833A3">
      <w:pPr>
        <w:pStyle w:val="Default"/>
        <w:numPr>
          <w:ilvl w:val="0"/>
          <w:numId w:val="22"/>
        </w:numPr>
        <w:rPr>
          <w:rFonts w:ascii="Verdana" w:hAnsi="Verdana"/>
          <w:sz w:val="20"/>
          <w:szCs w:val="20"/>
        </w:rPr>
      </w:pPr>
      <w:proofErr w:type="gramStart"/>
      <w:r>
        <w:rPr>
          <w:rStyle w:val="None"/>
          <w:rFonts w:ascii="Verdana" w:hAnsi="Verdana"/>
          <w:sz w:val="20"/>
          <w:szCs w:val="20"/>
        </w:rPr>
        <w:t>they</w:t>
      </w:r>
      <w:proofErr w:type="gramEnd"/>
      <w:r>
        <w:rPr>
          <w:rStyle w:val="None"/>
          <w:rFonts w:ascii="Verdana" w:hAnsi="Verdana"/>
          <w:sz w:val="20"/>
          <w:szCs w:val="20"/>
        </w:rPr>
        <w:t xml:space="preserve"> were previously involved in the preparation of the call and this entails a distortion of competition that cannot be remedied otherwise (conflict of interest).</w:t>
      </w:r>
    </w:p>
    <w:p w14:paraId="6AF18693" w14:textId="77777777" w:rsidR="00855A5C" w:rsidRDefault="00855A5C">
      <w:pPr>
        <w:pStyle w:val="Heading"/>
        <w:rPr>
          <w:rStyle w:val="None"/>
          <w:i/>
          <w:iCs/>
          <w:color w:val="4AA55B"/>
          <w:u w:color="4AA55B"/>
        </w:rPr>
      </w:pPr>
    </w:p>
    <w:p w14:paraId="4EC4B60E" w14:textId="77777777" w:rsidR="00855A5C" w:rsidRDefault="00F833A3">
      <w:pPr>
        <w:pStyle w:val="Heading"/>
      </w:pPr>
      <w:bookmarkStart w:id="9" w:name="_Toc110874545"/>
      <w:r>
        <w:rPr>
          <w:rStyle w:val="None"/>
          <w:rFonts w:eastAsia="Arial Unicode MS" w:cs="Arial Unicode MS"/>
          <w:lang w:val="en-US"/>
        </w:rPr>
        <w:t>8. Evaluation and award procedure</w:t>
      </w:r>
      <w:bookmarkEnd w:id="9"/>
      <w:r>
        <w:rPr>
          <w:rStyle w:val="None"/>
          <w:rFonts w:eastAsia="Arial Unicode MS" w:cs="Arial Unicode MS"/>
          <w:lang w:val="en-US"/>
        </w:rPr>
        <w:t xml:space="preserve"> </w:t>
      </w:r>
    </w:p>
    <w:p w14:paraId="6B890C47" w14:textId="77777777" w:rsidR="00855A5C" w:rsidRDefault="00F833A3">
      <w:pPr>
        <w:pStyle w:val="Body"/>
      </w:pPr>
      <w:r>
        <w:rPr>
          <w:rStyle w:val="None"/>
        </w:rPr>
        <w:t xml:space="preserve">The proposals will have to follow the </w:t>
      </w:r>
      <w:r>
        <w:rPr>
          <w:rStyle w:val="None"/>
          <w:b/>
          <w:bCs/>
        </w:rPr>
        <w:t>standard submission and evaluation procedure</w:t>
      </w:r>
      <w:r>
        <w:rPr>
          <w:rStyle w:val="None"/>
        </w:rPr>
        <w:t xml:space="preserve"> (one-stage submission + one-step evaluation). </w:t>
      </w:r>
    </w:p>
    <w:p w14:paraId="03A8EDCB" w14:textId="77777777" w:rsidR="00855A5C" w:rsidRDefault="00F833A3">
      <w:pPr>
        <w:pStyle w:val="Body"/>
      </w:pPr>
      <w:r>
        <w:rPr>
          <w:rStyle w:val="None"/>
        </w:rPr>
        <w:t xml:space="preserve">An </w:t>
      </w:r>
      <w:r>
        <w:rPr>
          <w:rStyle w:val="None"/>
          <w:b/>
          <w:bCs/>
        </w:rPr>
        <w:t>evaluation committee</w:t>
      </w:r>
      <w:r>
        <w:rPr>
          <w:rStyle w:val="None"/>
        </w:rPr>
        <w:t xml:space="preserve"> will assess all applications. Proposals will first be checked for formal requirements (admissibility, and eligibility,</w:t>
      </w:r>
      <w:r>
        <w:rPr>
          <w:rStyle w:val="None"/>
          <w:i/>
          <w:iCs/>
        </w:rPr>
        <w:t xml:space="preserve"> see sections 5 and 6</w:t>
      </w:r>
      <w:r>
        <w:rPr>
          <w:rStyle w:val="None"/>
        </w:rPr>
        <w:t>). Proposals found admissible and eligible will be evaluated against the operational capacity and award criteria and</w:t>
      </w:r>
      <w:r>
        <w:rPr>
          <w:rStyle w:val="None"/>
          <w:i/>
          <w:iCs/>
        </w:rPr>
        <w:t xml:space="preserve"> </w:t>
      </w:r>
      <w:r>
        <w:rPr>
          <w:rStyle w:val="None"/>
        </w:rPr>
        <w:t xml:space="preserve">then ranked according to their scores </w:t>
      </w:r>
      <w:r>
        <w:rPr>
          <w:rStyle w:val="None"/>
          <w:i/>
          <w:iCs/>
        </w:rPr>
        <w:t>(see sections 7 and 9)</w:t>
      </w:r>
      <w:r>
        <w:rPr>
          <w:rStyle w:val="None"/>
        </w:rPr>
        <w:t>.</w:t>
      </w:r>
    </w:p>
    <w:p w14:paraId="02B72ABD" w14:textId="77777777" w:rsidR="00855A5C" w:rsidRDefault="00F833A3">
      <w:pPr>
        <w:pStyle w:val="Body"/>
      </w:pPr>
      <w:r>
        <w:rPr>
          <w:rStyle w:val="None"/>
          <w:noProof/>
          <w:lang w:val="fr-BE" w:eastAsia="fr-BE"/>
        </w:rPr>
        <w:lastRenderedPageBreak/>
        <w:drawing>
          <wp:inline distT="0" distB="0" distL="0" distR="0" wp14:anchorId="4D740849" wp14:editId="776EBA00">
            <wp:extent cx="174625" cy="174625"/>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20"/>
                    <a:stretch>
                      <a:fillRect/>
                    </a:stretch>
                  </pic:blipFill>
                  <pic:spPr>
                    <a:xfrm>
                      <a:off x="0" y="0"/>
                      <a:ext cx="174625" cy="174625"/>
                    </a:xfrm>
                    <a:prstGeom prst="rect">
                      <a:avLst/>
                    </a:prstGeom>
                    <a:ln w="12700" cap="flat">
                      <a:noFill/>
                      <a:miter lim="400000"/>
                    </a:ln>
                    <a:effectLst/>
                  </pic:spPr>
                </pic:pic>
              </a:graphicData>
            </a:graphic>
          </wp:inline>
        </w:drawing>
      </w:r>
      <w:r>
        <w:rPr>
          <w:rStyle w:val="None"/>
        </w:rPr>
        <w:t xml:space="preserve"> No commitment for funding — Invitation to grant preparation does NOT constitute a formal commitment for funding. We will still need to make various legal checks before grant award: </w:t>
      </w:r>
      <w:r>
        <w:rPr>
          <w:rStyle w:val="None"/>
          <w:i/>
          <w:iCs/>
        </w:rPr>
        <w:t>legal entity validation, financial capacity, exclusion check, etc</w:t>
      </w:r>
      <w:r>
        <w:rPr>
          <w:rStyle w:val="None"/>
        </w:rPr>
        <w:t>.</w:t>
      </w:r>
    </w:p>
    <w:p w14:paraId="47EF4BA8" w14:textId="77777777" w:rsidR="00855A5C" w:rsidRDefault="00F833A3">
      <w:pPr>
        <w:pStyle w:val="Body"/>
      </w:pPr>
      <w:r w:rsidRPr="00E26546">
        <w:rPr>
          <w:rStyle w:val="None"/>
          <w:b/>
          <w:bCs/>
          <w:lang w:val="en-IE"/>
        </w:rPr>
        <w:t>Grant preparation</w:t>
      </w:r>
      <w:r>
        <w:rPr>
          <w:rStyle w:val="None"/>
        </w:rPr>
        <w:t xml:space="preserve"> will involve a dialogue in order to fine-tune technical or financial aspects of the project and may require extra information from your side. It may also include adjustments to the proposal to address recommendations of the evaluation committee or other concerns. Compliance will be a pre-condition for signing the grant.</w:t>
      </w:r>
    </w:p>
    <w:p w14:paraId="42365250" w14:textId="77777777" w:rsidR="00855A5C" w:rsidRDefault="00F833A3">
      <w:pPr>
        <w:pStyle w:val="Body"/>
      </w:pPr>
      <w:r>
        <w:rPr>
          <w:rStyle w:val="None"/>
        </w:rPr>
        <w:t xml:space="preserve">If you believe that the evaluation procedure was flawed, you can submit a </w:t>
      </w:r>
      <w:r>
        <w:rPr>
          <w:rStyle w:val="None"/>
          <w:b/>
          <w:bCs/>
        </w:rPr>
        <w:t>complaint</w:t>
      </w:r>
      <w:r>
        <w:rPr>
          <w:rStyle w:val="None"/>
        </w:rPr>
        <w:t xml:space="preserve"> (following the deadlines and procedures set out in the evaluation result letter). Please note that notifications which have not been opened within 10 days after sending are considered to have been accessed and that deadlines will be counted from opening/access. Please also be aware that for complaints submitted electronically, there may be character limitations.</w:t>
      </w:r>
    </w:p>
    <w:p w14:paraId="39008F38" w14:textId="77777777" w:rsidR="00855A5C" w:rsidRDefault="00F833A3">
      <w:pPr>
        <w:pStyle w:val="Heading"/>
      </w:pPr>
      <w:bookmarkStart w:id="10" w:name="_Toc110874546"/>
      <w:r>
        <w:rPr>
          <w:rStyle w:val="None"/>
          <w:rFonts w:eastAsia="Arial Unicode MS" w:cs="Arial Unicode MS"/>
          <w:lang w:val="en-US"/>
        </w:rPr>
        <w:t>9. Award criteria</w:t>
      </w:r>
      <w:bookmarkEnd w:id="10"/>
      <w:r>
        <w:rPr>
          <w:rStyle w:val="None"/>
          <w:rFonts w:eastAsia="Arial Unicode MS" w:cs="Arial Unicode MS"/>
          <w:lang w:val="en-US"/>
        </w:rPr>
        <w:t xml:space="preserve"> </w:t>
      </w:r>
    </w:p>
    <w:p w14:paraId="65832E1C" w14:textId="77777777" w:rsidR="00855A5C" w:rsidRDefault="00F833A3">
      <w:pPr>
        <w:pStyle w:val="Body"/>
        <w:rPr>
          <w:rStyle w:val="None"/>
          <w:u w:val="single"/>
        </w:rPr>
      </w:pPr>
      <w:r>
        <w:rPr>
          <w:rStyle w:val="None"/>
        </w:rPr>
        <w:t xml:space="preserve">The </w:t>
      </w:r>
      <w:r>
        <w:rPr>
          <w:rStyle w:val="None"/>
          <w:b/>
          <w:bCs/>
        </w:rPr>
        <w:t xml:space="preserve">award criteria </w:t>
      </w:r>
      <w:r>
        <w:rPr>
          <w:rStyle w:val="None"/>
        </w:rPr>
        <w:t>for this call are as follows:</w:t>
      </w:r>
    </w:p>
    <w:p w14:paraId="748CCF0C" w14:textId="0250A218" w:rsidR="00855A5C" w:rsidRDefault="00F833A3">
      <w:pPr>
        <w:pStyle w:val="Body"/>
        <w:numPr>
          <w:ilvl w:val="0"/>
          <w:numId w:val="24"/>
        </w:numPr>
      </w:pPr>
      <w:r>
        <w:rPr>
          <w:rStyle w:val="None"/>
          <w:b/>
          <w:bCs/>
          <w:color w:val="A50021"/>
          <w:u w:color="A50021"/>
        </w:rPr>
        <w:t>Priority and urgency:</w:t>
      </w:r>
      <w:r>
        <w:rPr>
          <w:rStyle w:val="None"/>
        </w:rPr>
        <w:t xml:space="preserve"> evaluating correspondence of the proposal with the sectoral policy objectives and priorities, measuring its EU </w:t>
      </w:r>
      <w:r w:rsidR="007C020C">
        <w:rPr>
          <w:rStyle w:val="None"/>
        </w:rPr>
        <w:t>added value</w:t>
      </w:r>
      <w:r>
        <w:rPr>
          <w:rStyle w:val="None"/>
        </w:rPr>
        <w:t xml:space="preserve"> and where applicable assessing the possible synergies with other sectors. (5 points) </w:t>
      </w:r>
    </w:p>
    <w:p w14:paraId="58EFE842" w14:textId="77777777" w:rsidR="00855A5C" w:rsidRDefault="00F833A3">
      <w:pPr>
        <w:pStyle w:val="Body"/>
        <w:numPr>
          <w:ilvl w:val="0"/>
          <w:numId w:val="24"/>
        </w:numPr>
      </w:pPr>
      <w:r>
        <w:rPr>
          <w:rStyle w:val="None"/>
          <w:b/>
          <w:bCs/>
          <w:color w:val="A50021"/>
          <w:u w:color="A50021"/>
        </w:rPr>
        <w:t>Maturity:</w:t>
      </w:r>
      <w:r>
        <w:rPr>
          <w:rStyle w:val="None"/>
        </w:rPr>
        <w:t xml:space="preserve"> assessing the maturity of the action in the project development. The criterion will measure, among others: the readiness/ability of the project to start by the proposed start date and to complete by the proposed end date, the status of the contracting procedures and of the necessary permits (if applicable), and information on the financial availability needed to complement the CEF investment (if applicable) (5 points)</w:t>
      </w:r>
    </w:p>
    <w:p w14:paraId="06AE1135" w14:textId="77777777" w:rsidR="00855A5C" w:rsidRDefault="00F833A3">
      <w:pPr>
        <w:pStyle w:val="Body"/>
        <w:numPr>
          <w:ilvl w:val="0"/>
          <w:numId w:val="24"/>
        </w:numPr>
      </w:pPr>
      <w:r>
        <w:rPr>
          <w:rStyle w:val="None"/>
          <w:b/>
          <w:bCs/>
          <w:color w:val="A50021"/>
          <w:u w:color="A50021"/>
        </w:rPr>
        <w:t>Quality:</w:t>
      </w:r>
      <w:r>
        <w:rPr>
          <w:rStyle w:val="None"/>
        </w:rPr>
        <w:t xml:space="preserve"> evaluating the soundness of the implementation plan proposed, both from the technical and financial point of view, the architecture and design approach, the </w:t>
      </w:r>
      <w:proofErr w:type="spellStart"/>
      <w:r>
        <w:rPr>
          <w:rStyle w:val="None"/>
        </w:rPr>
        <w:t>organisational</w:t>
      </w:r>
      <w:proofErr w:type="spellEnd"/>
      <w:r>
        <w:rPr>
          <w:rStyle w:val="None"/>
        </w:rPr>
        <w:t xml:space="preserve"> structures put in place (or foreseen) for the implementation, the risk analysis, the control procedures and quality management and the communication strategy. Moreover, when applicable, it will also assess the information related to the maintenance strategy for the completed project (5 points) </w:t>
      </w:r>
    </w:p>
    <w:p w14:paraId="5ED6E0F0" w14:textId="77777777" w:rsidR="00855A5C" w:rsidRDefault="00F833A3">
      <w:pPr>
        <w:pStyle w:val="Body"/>
        <w:numPr>
          <w:ilvl w:val="0"/>
          <w:numId w:val="24"/>
        </w:numPr>
      </w:pPr>
      <w:r>
        <w:rPr>
          <w:rStyle w:val="None"/>
          <w:b/>
          <w:bCs/>
          <w:color w:val="A50021"/>
          <w:u w:color="A50021"/>
        </w:rPr>
        <w:t>Impact:</w:t>
      </w:r>
      <w:r>
        <w:rPr>
          <w:rStyle w:val="None"/>
        </w:rPr>
        <w:t xml:space="preserve"> assessing, when applicable, the economic, social and environmental impact, including the climate impact, and other relevant externalities. The evaluation will look at the soundness, comprehensiveness, and transparency of the analysis as well as proposed means to monitor its impact. Moreover, when applicable, the criterion will assess, among others, the innovation and </w:t>
      </w:r>
      <w:proofErr w:type="spellStart"/>
      <w:r>
        <w:rPr>
          <w:rStyle w:val="None"/>
        </w:rPr>
        <w:t>digitalisation</w:t>
      </w:r>
      <w:proofErr w:type="spellEnd"/>
      <w:r>
        <w:rPr>
          <w:rStyle w:val="None"/>
        </w:rPr>
        <w:t xml:space="preserve">, safety and interoperability and accessibility aspects of the proposal, as well as its cross-border dimension, effect/contribution to the network territorial accessibility (5 points) </w:t>
      </w:r>
    </w:p>
    <w:p w14:paraId="74804A59" w14:textId="77777777" w:rsidR="00855A5C" w:rsidRDefault="00F833A3">
      <w:pPr>
        <w:pStyle w:val="Body"/>
        <w:numPr>
          <w:ilvl w:val="0"/>
          <w:numId w:val="24"/>
        </w:numPr>
      </w:pPr>
      <w:r>
        <w:rPr>
          <w:rStyle w:val="None"/>
          <w:b/>
          <w:bCs/>
          <w:color w:val="A50021"/>
          <w:u w:color="A50021"/>
        </w:rPr>
        <w:t>Catalytic effect:</w:t>
      </w:r>
      <w:r>
        <w:rPr>
          <w:rStyle w:val="None"/>
        </w:rPr>
        <w:t xml:space="preserve"> evaluating the financial contribution, the capacity to </w:t>
      </w:r>
      <w:proofErr w:type="spellStart"/>
      <w:r>
        <w:rPr>
          <w:rStyle w:val="None"/>
        </w:rPr>
        <w:t>mobilise</w:t>
      </w:r>
      <w:proofErr w:type="spellEnd"/>
      <w:r>
        <w:rPr>
          <w:rStyle w:val="None"/>
        </w:rPr>
        <w:t xml:space="preserve"> differentiated investments sources, the capacity to trigger important overall investments with limited EU support and when appropriate the extent to which externalities justify the CEF financial assistance. It also assesses the catalytic effect of the EU financial assistance (5 points).</w:t>
      </w:r>
    </w:p>
    <w:tbl>
      <w:tblPr>
        <w:tblW w:w="85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80"/>
        <w:gridCol w:w="1251"/>
        <w:gridCol w:w="1308"/>
      </w:tblGrid>
      <w:tr w:rsidR="00855A5C" w14:paraId="5D756101" w14:textId="77777777">
        <w:trPr>
          <w:trHeight w:val="430"/>
        </w:trPr>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78B13F80" w14:textId="77777777" w:rsidR="00855A5C" w:rsidRDefault="00F833A3">
            <w:pPr>
              <w:pStyle w:val="Body"/>
              <w:spacing w:before="120" w:after="120"/>
            </w:pPr>
            <w:r>
              <w:rPr>
                <w:rStyle w:val="None"/>
                <w:b/>
                <w:bCs/>
                <w:color w:val="595959"/>
                <w:sz w:val="16"/>
                <w:szCs w:val="16"/>
                <w:u w:color="595959"/>
              </w:rPr>
              <w:t>Award criteria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42DE056A" w14:textId="77777777" w:rsidR="00855A5C" w:rsidRDefault="00F833A3">
            <w:pPr>
              <w:pStyle w:val="Body"/>
              <w:spacing w:before="120" w:after="120"/>
              <w:jc w:val="center"/>
            </w:pPr>
            <w:r>
              <w:rPr>
                <w:rStyle w:val="None"/>
                <w:b/>
                <w:bCs/>
                <w:color w:val="595959"/>
                <w:sz w:val="16"/>
                <w:szCs w:val="16"/>
                <w:u w:color="595959"/>
              </w:rPr>
              <w:t>Minimum pass score</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5A828D58" w14:textId="77777777" w:rsidR="00855A5C" w:rsidRDefault="00F833A3">
            <w:pPr>
              <w:pStyle w:val="Body"/>
              <w:spacing w:before="120" w:after="120"/>
              <w:jc w:val="center"/>
            </w:pPr>
            <w:r>
              <w:rPr>
                <w:rStyle w:val="None"/>
                <w:b/>
                <w:bCs/>
                <w:color w:val="595959"/>
                <w:sz w:val="16"/>
                <w:szCs w:val="16"/>
                <w:u w:color="595959"/>
              </w:rPr>
              <w:t>Maximum score</w:t>
            </w:r>
          </w:p>
        </w:tc>
      </w:tr>
      <w:tr w:rsidR="00855A5C" w14:paraId="33842C66"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B173CC0" w14:textId="77777777" w:rsidR="00855A5C" w:rsidRDefault="00F833A3">
            <w:pPr>
              <w:pStyle w:val="Body"/>
              <w:spacing w:before="120" w:after="120"/>
            </w:pPr>
            <w:r>
              <w:rPr>
                <w:rStyle w:val="None"/>
                <w:color w:val="595959"/>
                <w:sz w:val="16"/>
                <w:szCs w:val="16"/>
                <w:u w:color="595959"/>
              </w:rPr>
              <w:lastRenderedPageBreak/>
              <w:t>Priority and urgency</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45828657" w14:textId="77777777" w:rsidR="00855A5C" w:rsidRDefault="00F833A3">
            <w:pPr>
              <w:pStyle w:val="Body"/>
              <w:spacing w:before="120" w:after="120"/>
              <w:jc w:val="center"/>
            </w:pPr>
            <w:r>
              <w:rPr>
                <w:rStyle w:val="None"/>
                <w:color w:val="595959"/>
                <w:sz w:val="16"/>
                <w:szCs w:val="16"/>
                <w:u w:color="595959"/>
              </w:rPr>
              <w:t>3</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3B68835C" w14:textId="77777777" w:rsidR="00855A5C" w:rsidRDefault="00F833A3">
            <w:pPr>
              <w:pStyle w:val="Body"/>
              <w:spacing w:before="120" w:after="120"/>
              <w:jc w:val="center"/>
            </w:pPr>
            <w:r>
              <w:rPr>
                <w:rStyle w:val="None"/>
                <w:color w:val="595959"/>
                <w:sz w:val="16"/>
                <w:szCs w:val="16"/>
                <w:u w:color="595959"/>
              </w:rPr>
              <w:t>5</w:t>
            </w:r>
          </w:p>
        </w:tc>
      </w:tr>
      <w:tr w:rsidR="00855A5C" w14:paraId="4A5D3135"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0A825EF" w14:textId="77777777" w:rsidR="00855A5C" w:rsidRDefault="00F833A3">
            <w:pPr>
              <w:pStyle w:val="Body"/>
              <w:spacing w:before="120" w:after="120"/>
            </w:pPr>
            <w:r>
              <w:rPr>
                <w:rStyle w:val="None"/>
                <w:color w:val="595959"/>
                <w:sz w:val="16"/>
                <w:szCs w:val="16"/>
                <w:u w:color="595959"/>
              </w:rPr>
              <w:t xml:space="preserve">Maturity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DC43CB4" w14:textId="77777777" w:rsidR="00855A5C" w:rsidRDefault="00F833A3">
            <w:pPr>
              <w:pStyle w:val="Body"/>
              <w:spacing w:before="120" w:after="120"/>
              <w:jc w:val="center"/>
            </w:pPr>
            <w:r>
              <w:rPr>
                <w:rStyle w:val="None"/>
                <w:color w:val="595959"/>
                <w:sz w:val="16"/>
                <w:szCs w:val="16"/>
                <w:u w:color="595959"/>
              </w:rPr>
              <w:t>3</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6C59C165" w14:textId="77777777" w:rsidR="00855A5C" w:rsidRDefault="00F833A3">
            <w:pPr>
              <w:pStyle w:val="Body"/>
              <w:spacing w:before="120" w:after="120"/>
              <w:jc w:val="center"/>
            </w:pPr>
            <w:r>
              <w:rPr>
                <w:rStyle w:val="None"/>
                <w:color w:val="595959"/>
                <w:sz w:val="16"/>
                <w:szCs w:val="16"/>
                <w:u w:color="595959"/>
              </w:rPr>
              <w:t>5</w:t>
            </w:r>
          </w:p>
        </w:tc>
      </w:tr>
      <w:tr w:rsidR="00855A5C" w14:paraId="3277C747"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4359F48" w14:textId="77777777" w:rsidR="00855A5C" w:rsidRDefault="00F833A3">
            <w:pPr>
              <w:pStyle w:val="Body"/>
              <w:spacing w:before="120" w:after="120"/>
            </w:pPr>
            <w:r>
              <w:rPr>
                <w:rStyle w:val="None"/>
                <w:color w:val="595959"/>
                <w:sz w:val="16"/>
                <w:szCs w:val="16"/>
                <w:u w:color="595959"/>
              </w:rPr>
              <w:t>Quality</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482C95FA" w14:textId="77777777" w:rsidR="00855A5C" w:rsidRDefault="00F833A3">
            <w:pPr>
              <w:pStyle w:val="Body"/>
              <w:spacing w:before="120" w:after="120"/>
              <w:jc w:val="center"/>
            </w:pPr>
            <w:r>
              <w:rPr>
                <w:rStyle w:val="None"/>
                <w:color w:val="595959"/>
                <w:sz w:val="16"/>
                <w:szCs w:val="16"/>
                <w:u w:color="595959"/>
              </w:rPr>
              <w:t>3</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182655E" w14:textId="77777777" w:rsidR="00855A5C" w:rsidRDefault="00F833A3">
            <w:pPr>
              <w:pStyle w:val="Body"/>
              <w:spacing w:before="120" w:after="120"/>
              <w:jc w:val="center"/>
            </w:pPr>
            <w:r>
              <w:rPr>
                <w:rStyle w:val="None"/>
                <w:color w:val="595959"/>
                <w:sz w:val="16"/>
                <w:szCs w:val="16"/>
                <w:u w:color="595959"/>
              </w:rPr>
              <w:t>5</w:t>
            </w:r>
          </w:p>
        </w:tc>
      </w:tr>
      <w:tr w:rsidR="00855A5C" w14:paraId="0D8B0E4A"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3824B9A6" w14:textId="77777777" w:rsidR="00855A5C" w:rsidRDefault="00F833A3">
            <w:pPr>
              <w:pStyle w:val="Body"/>
              <w:spacing w:before="120" w:after="120"/>
            </w:pPr>
            <w:r>
              <w:rPr>
                <w:rStyle w:val="None"/>
                <w:color w:val="595959"/>
                <w:sz w:val="16"/>
                <w:szCs w:val="16"/>
                <w:u w:color="595959"/>
              </w:rPr>
              <w:t>Impact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73F2DA63" w14:textId="77777777" w:rsidR="00855A5C" w:rsidRDefault="00F833A3">
            <w:pPr>
              <w:pStyle w:val="Body"/>
              <w:spacing w:before="120" w:after="120"/>
              <w:jc w:val="center"/>
            </w:pPr>
            <w:r>
              <w:rPr>
                <w:rStyle w:val="None"/>
                <w:color w:val="595959"/>
                <w:sz w:val="16"/>
                <w:szCs w:val="16"/>
                <w:u w:color="595959"/>
              </w:rPr>
              <w:t>3</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46B0F3F0" w14:textId="77777777" w:rsidR="00855A5C" w:rsidRDefault="00F833A3">
            <w:pPr>
              <w:pStyle w:val="Body"/>
              <w:spacing w:before="120" w:after="120"/>
              <w:jc w:val="center"/>
            </w:pPr>
            <w:r>
              <w:rPr>
                <w:rStyle w:val="None"/>
                <w:color w:val="595959"/>
                <w:sz w:val="16"/>
                <w:szCs w:val="16"/>
                <w:u w:color="595959"/>
              </w:rPr>
              <w:t>5</w:t>
            </w:r>
          </w:p>
        </w:tc>
      </w:tr>
      <w:tr w:rsidR="00855A5C" w14:paraId="74405F71"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2AAFE707" w14:textId="77777777" w:rsidR="00855A5C" w:rsidRDefault="00F833A3">
            <w:pPr>
              <w:pStyle w:val="Body"/>
              <w:spacing w:before="120" w:after="120"/>
            </w:pPr>
            <w:r>
              <w:rPr>
                <w:rStyle w:val="None"/>
                <w:color w:val="595959"/>
                <w:sz w:val="16"/>
                <w:szCs w:val="16"/>
                <w:u w:color="595959"/>
              </w:rPr>
              <w:t>Catalytic effect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393ECF96" w14:textId="77777777" w:rsidR="00855A5C" w:rsidRDefault="00F833A3">
            <w:pPr>
              <w:pStyle w:val="Body"/>
              <w:spacing w:before="120" w:after="120"/>
              <w:jc w:val="center"/>
            </w:pPr>
            <w:r>
              <w:rPr>
                <w:rStyle w:val="None"/>
                <w:color w:val="595959"/>
                <w:sz w:val="16"/>
                <w:szCs w:val="16"/>
                <w:u w:color="595959"/>
              </w:rPr>
              <w:t>3</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80" w:type="dxa"/>
              <w:left w:w="80" w:type="dxa"/>
              <w:bottom w:w="80" w:type="dxa"/>
              <w:right w:w="80" w:type="dxa"/>
            </w:tcMar>
          </w:tcPr>
          <w:p w14:paraId="39AE7161" w14:textId="77777777" w:rsidR="00855A5C" w:rsidRDefault="00F833A3">
            <w:pPr>
              <w:pStyle w:val="Body"/>
              <w:spacing w:before="120" w:after="120"/>
              <w:jc w:val="center"/>
            </w:pPr>
            <w:r>
              <w:rPr>
                <w:rStyle w:val="None"/>
                <w:color w:val="595959"/>
                <w:sz w:val="16"/>
                <w:szCs w:val="16"/>
                <w:u w:color="595959"/>
              </w:rPr>
              <w:t>5</w:t>
            </w:r>
          </w:p>
        </w:tc>
      </w:tr>
      <w:tr w:rsidR="00855A5C" w14:paraId="230D171C" w14:textId="77777777">
        <w:trPr>
          <w:trHeight w:val="230"/>
        </w:trPr>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649A5DA5" w14:textId="77777777" w:rsidR="00855A5C" w:rsidRDefault="00F833A3">
            <w:pPr>
              <w:pStyle w:val="Body"/>
              <w:spacing w:before="120" w:after="120"/>
            </w:pPr>
            <w:r>
              <w:rPr>
                <w:rStyle w:val="None"/>
                <w:b/>
                <w:bCs/>
                <w:color w:val="595959"/>
                <w:sz w:val="16"/>
                <w:szCs w:val="16"/>
                <w:u w:color="595959"/>
              </w:rPr>
              <w:t>Overall (pass) scores</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11077CDA" w14:textId="77777777" w:rsidR="00855A5C" w:rsidRDefault="00F833A3">
            <w:pPr>
              <w:pStyle w:val="Body"/>
              <w:spacing w:before="120" w:after="120"/>
              <w:jc w:val="center"/>
            </w:pPr>
            <w:r>
              <w:rPr>
                <w:rStyle w:val="None"/>
                <w:b/>
                <w:bCs/>
                <w:color w:val="595959"/>
                <w:sz w:val="16"/>
                <w:szCs w:val="16"/>
                <w:u w:color="595959"/>
              </w:rPr>
              <w:t>15</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80" w:type="dxa"/>
              <w:left w:w="80" w:type="dxa"/>
              <w:bottom w:w="80" w:type="dxa"/>
              <w:right w:w="80" w:type="dxa"/>
            </w:tcMar>
          </w:tcPr>
          <w:p w14:paraId="674D7EF9" w14:textId="77777777" w:rsidR="00855A5C" w:rsidRDefault="00F833A3">
            <w:pPr>
              <w:pStyle w:val="Body"/>
              <w:spacing w:before="120" w:after="120"/>
              <w:jc w:val="center"/>
            </w:pPr>
            <w:r>
              <w:rPr>
                <w:rStyle w:val="None"/>
                <w:b/>
                <w:bCs/>
                <w:color w:val="595959"/>
                <w:sz w:val="16"/>
                <w:szCs w:val="16"/>
                <w:u w:color="595959"/>
              </w:rPr>
              <w:t>25</w:t>
            </w:r>
          </w:p>
        </w:tc>
      </w:tr>
    </w:tbl>
    <w:p w14:paraId="483C624A" w14:textId="77777777" w:rsidR="00855A5C" w:rsidRDefault="00855A5C">
      <w:pPr>
        <w:pStyle w:val="Text1"/>
        <w:ind w:left="0"/>
        <w:rPr>
          <w:rStyle w:val="None"/>
        </w:rPr>
      </w:pPr>
    </w:p>
    <w:p w14:paraId="4F9397E9" w14:textId="77777777" w:rsidR="00855A5C" w:rsidRDefault="00F833A3">
      <w:pPr>
        <w:pStyle w:val="Text1"/>
        <w:ind w:left="0"/>
        <w:rPr>
          <w:rStyle w:val="None"/>
        </w:rPr>
      </w:pPr>
      <w:r>
        <w:rPr>
          <w:rStyle w:val="None"/>
        </w:rPr>
        <w:t>Maximum points: 25 points.</w:t>
      </w:r>
    </w:p>
    <w:p w14:paraId="6C37961D" w14:textId="77777777" w:rsidR="00855A5C" w:rsidRDefault="00F833A3">
      <w:pPr>
        <w:pStyle w:val="Text1"/>
        <w:ind w:left="0"/>
        <w:rPr>
          <w:rStyle w:val="None"/>
        </w:rPr>
      </w:pPr>
      <w:r>
        <w:rPr>
          <w:rStyle w:val="None"/>
        </w:rPr>
        <w:t>Individual thresholds per criterion: 3/5, 3/5, 3/5, 3/5 and 3/5 points.</w:t>
      </w:r>
    </w:p>
    <w:p w14:paraId="2B86D9E3" w14:textId="77777777" w:rsidR="00855A5C" w:rsidRDefault="00F833A3">
      <w:pPr>
        <w:pStyle w:val="Text1"/>
        <w:ind w:left="0"/>
        <w:rPr>
          <w:rStyle w:val="None"/>
        </w:rPr>
      </w:pPr>
      <w:r>
        <w:rPr>
          <w:rStyle w:val="None"/>
        </w:rPr>
        <w:t>Overall threshold: 15 points.</w:t>
      </w:r>
    </w:p>
    <w:p w14:paraId="6F619CF9" w14:textId="77777777" w:rsidR="00855A5C" w:rsidRDefault="00F833A3">
      <w:pPr>
        <w:pStyle w:val="Heading"/>
      </w:pPr>
      <w:bookmarkStart w:id="11" w:name="_Toc110874547"/>
      <w:r>
        <w:rPr>
          <w:rStyle w:val="None"/>
          <w:rFonts w:eastAsia="Arial Unicode MS" w:cs="Arial Unicode MS"/>
          <w:lang w:val="en-US"/>
        </w:rPr>
        <w:t>10. Legal and financial set-up of the Grant Agreements</w:t>
      </w:r>
      <w:bookmarkEnd w:id="11"/>
      <w:r>
        <w:rPr>
          <w:rStyle w:val="None"/>
          <w:rFonts w:eastAsia="Arial Unicode MS" w:cs="Arial Unicode MS"/>
          <w:lang w:val="en-US"/>
        </w:rPr>
        <w:t xml:space="preserve"> </w:t>
      </w:r>
    </w:p>
    <w:p w14:paraId="0ECFEF8D" w14:textId="77777777" w:rsidR="00855A5C" w:rsidRDefault="00F833A3">
      <w:pPr>
        <w:pStyle w:val="Body"/>
      </w:pPr>
      <w:r>
        <w:rPr>
          <w:rStyle w:val="None"/>
        </w:rPr>
        <w:t xml:space="preserve">If you pass evaluation, your project will be invited for grant preparation, where you will be asked to prepare the Grant Agreement together with the EU Project Officer. </w:t>
      </w:r>
    </w:p>
    <w:p w14:paraId="5A25A7B2" w14:textId="77777777" w:rsidR="00855A5C" w:rsidRDefault="00F833A3">
      <w:pPr>
        <w:pStyle w:val="Body"/>
      </w:pPr>
      <w:r>
        <w:rPr>
          <w:rStyle w:val="None"/>
        </w:rPr>
        <w:t xml:space="preserve">This Grant Agreement will set the framework for your grant and its terms and conditions, in particular concerning deliverables, reporting and payments. </w:t>
      </w:r>
    </w:p>
    <w:p w14:paraId="719F4FB2" w14:textId="77777777" w:rsidR="00855A5C" w:rsidRDefault="00F833A3">
      <w:pPr>
        <w:pStyle w:val="Body"/>
      </w:pPr>
      <w:r>
        <w:rPr>
          <w:rStyle w:val="None"/>
        </w:rPr>
        <w:t>The Model Grant Agreement that will be used is published with this call text.</w:t>
      </w:r>
    </w:p>
    <w:p w14:paraId="07C15F6C" w14:textId="77777777" w:rsidR="00855A5C" w:rsidRDefault="00F833A3">
      <w:pPr>
        <w:pStyle w:val="Heading3"/>
      </w:pPr>
      <w:r>
        <w:rPr>
          <w:rStyle w:val="None"/>
          <w:rFonts w:eastAsia="Arial Unicode MS" w:cs="Arial Unicode MS"/>
          <w:lang w:val="en-US"/>
        </w:rPr>
        <w:t xml:space="preserve">Starting date and project duration </w:t>
      </w:r>
    </w:p>
    <w:p w14:paraId="20765A2C" w14:textId="77777777" w:rsidR="00855A5C" w:rsidRDefault="00F833A3">
      <w:pPr>
        <w:pStyle w:val="Body"/>
      </w:pPr>
      <w:r>
        <w:rPr>
          <w:rStyle w:val="None"/>
        </w:rPr>
        <w:t xml:space="preserve">The project starting date and duration will be fixed in the Grant Agreement </w:t>
      </w:r>
      <w:r w:rsidRPr="00E26546">
        <w:rPr>
          <w:rStyle w:val="None"/>
          <w:i/>
          <w:iCs/>
          <w:lang w:val="en-IE"/>
        </w:rPr>
        <w:t>(Data Sheet, point 1)</w:t>
      </w:r>
      <w:r>
        <w:rPr>
          <w:rStyle w:val="None"/>
        </w:rPr>
        <w:t>. Normally the starting date will be after grant signature. Retroactive application can be granted exceptionally for duly justified reasons but never earlier than the proposal submission date.</w:t>
      </w:r>
    </w:p>
    <w:p w14:paraId="776E1CB4" w14:textId="77777777" w:rsidR="00855A5C" w:rsidRDefault="00F833A3">
      <w:pPr>
        <w:pStyle w:val="Body"/>
        <w:rPr>
          <w:rStyle w:val="None"/>
        </w:rPr>
      </w:pPr>
      <w:r>
        <w:rPr>
          <w:rStyle w:val="None"/>
        </w:rPr>
        <w:t>Project duration: between 24 and 36 months; extensions are possible, if duly justified and through an amendment.</w:t>
      </w:r>
    </w:p>
    <w:p w14:paraId="5650139C" w14:textId="77777777" w:rsidR="00855A5C" w:rsidRDefault="00F833A3">
      <w:pPr>
        <w:pStyle w:val="Heading3"/>
      </w:pPr>
      <w:r>
        <w:rPr>
          <w:rStyle w:val="None"/>
          <w:rFonts w:eastAsia="Arial Unicode MS" w:cs="Arial Unicode MS"/>
          <w:lang w:val="en-US"/>
        </w:rPr>
        <w:t>Milestones and deliverables</w:t>
      </w:r>
    </w:p>
    <w:p w14:paraId="590D2901" w14:textId="77777777" w:rsidR="00855A5C" w:rsidRDefault="00F833A3">
      <w:pPr>
        <w:pStyle w:val="Body"/>
        <w:rPr>
          <w:rStyle w:val="None"/>
        </w:rPr>
      </w:pPr>
      <w:r>
        <w:rPr>
          <w:rStyle w:val="None"/>
        </w:rPr>
        <w:t>The milestones and deliverables for each project will be reflected in Annex 1 of the Grant Agreement.</w:t>
      </w:r>
    </w:p>
    <w:p w14:paraId="68EAE354" w14:textId="77777777" w:rsidR="00855A5C" w:rsidRDefault="00855A5C">
      <w:pPr>
        <w:pStyle w:val="Body"/>
        <w:rPr>
          <w:rStyle w:val="None"/>
        </w:rPr>
      </w:pPr>
    </w:p>
    <w:p w14:paraId="161FF0CC" w14:textId="77777777" w:rsidR="00855A5C" w:rsidRDefault="00F833A3">
      <w:pPr>
        <w:pStyle w:val="Heading3"/>
      </w:pPr>
      <w:r>
        <w:rPr>
          <w:rStyle w:val="None"/>
          <w:rFonts w:eastAsia="Arial Unicode MS" w:cs="Arial Unicode MS"/>
          <w:lang w:val="en-US"/>
        </w:rPr>
        <w:t>Form of grant, funding rate and maximum grant amount</w:t>
      </w:r>
    </w:p>
    <w:p w14:paraId="62658F6F" w14:textId="77777777" w:rsidR="00855A5C" w:rsidRDefault="00F833A3">
      <w:pPr>
        <w:pStyle w:val="Body"/>
      </w:pPr>
      <w:r>
        <w:rPr>
          <w:rStyle w:val="None"/>
        </w:rPr>
        <w:t xml:space="preserve">The grant parameters </w:t>
      </w:r>
      <w:r>
        <w:rPr>
          <w:rStyle w:val="None"/>
          <w:i/>
          <w:iCs/>
        </w:rPr>
        <w:t xml:space="preserve">(maximum grant amount, funding rate, total eligible costs, </w:t>
      </w:r>
      <w:proofErr w:type="spellStart"/>
      <w:r>
        <w:rPr>
          <w:rStyle w:val="None"/>
          <w:i/>
          <w:iCs/>
        </w:rPr>
        <w:t>etc</w:t>
      </w:r>
      <w:proofErr w:type="spellEnd"/>
      <w:r>
        <w:rPr>
          <w:rStyle w:val="None"/>
          <w:i/>
          <w:iCs/>
        </w:rPr>
        <w:t>)</w:t>
      </w:r>
      <w:r>
        <w:rPr>
          <w:rStyle w:val="None"/>
        </w:rPr>
        <w:t xml:space="preserve"> will be fixed in the Grant Agreement </w:t>
      </w:r>
      <w:r>
        <w:rPr>
          <w:rStyle w:val="None"/>
          <w:i/>
          <w:iCs/>
        </w:rPr>
        <w:t>(Data Sheet, point 3 and art 5)</w:t>
      </w:r>
      <w:r>
        <w:rPr>
          <w:rStyle w:val="None"/>
        </w:rPr>
        <w:t>.</w:t>
      </w:r>
    </w:p>
    <w:p w14:paraId="6D3C808B" w14:textId="6A6719FB" w:rsidR="00855A5C" w:rsidRDefault="00F833A3">
      <w:pPr>
        <w:pStyle w:val="Body"/>
        <w:rPr>
          <w:rStyle w:val="None"/>
        </w:rPr>
      </w:pPr>
      <w:r>
        <w:rPr>
          <w:rStyle w:val="None"/>
        </w:rPr>
        <w:t>Project budget (maximum grant amount): EUR 5.000.000- indicatively 10% (up to a maximum of 15%) would cover activities under activity f) (see section 2 above).</w:t>
      </w:r>
      <w:r w:rsidR="007C020C">
        <w:rPr>
          <w:rStyle w:val="None"/>
        </w:rPr>
        <w:t xml:space="preserve"> </w:t>
      </w:r>
      <w:r>
        <w:rPr>
          <w:rStyle w:val="None"/>
        </w:rPr>
        <w:t>The amount granted for any one member of the consortium should not exceed EUR 350 000, with the exception of the coordinating country/countries.</w:t>
      </w:r>
    </w:p>
    <w:p w14:paraId="451C51ED" w14:textId="77777777" w:rsidR="00855A5C" w:rsidRDefault="00F833A3">
      <w:pPr>
        <w:pStyle w:val="Body"/>
        <w:rPr>
          <w:rStyle w:val="None"/>
        </w:rPr>
      </w:pPr>
      <w:r>
        <w:rPr>
          <w:rStyle w:val="None"/>
          <w:noProof/>
          <w:lang w:val="fr-BE" w:eastAsia="fr-BE"/>
        </w:rPr>
        <w:lastRenderedPageBreak/>
        <w:drawing>
          <wp:inline distT="0" distB="0" distL="0" distR="0" wp14:anchorId="6DE277E6" wp14:editId="241EB3F5">
            <wp:extent cx="174625" cy="174625"/>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0"/>
                    <a:stretch>
                      <a:fillRect/>
                    </a:stretch>
                  </pic:blipFill>
                  <pic:spPr>
                    <a:xfrm>
                      <a:off x="0" y="0"/>
                      <a:ext cx="174625" cy="174625"/>
                    </a:xfrm>
                    <a:prstGeom prst="rect">
                      <a:avLst/>
                    </a:prstGeom>
                    <a:ln w="12700" cap="flat">
                      <a:noFill/>
                      <a:miter lim="400000"/>
                    </a:ln>
                    <a:effectLst/>
                  </pic:spPr>
                </pic:pic>
              </a:graphicData>
            </a:graphic>
          </wp:inline>
        </w:drawing>
      </w:r>
      <w:r>
        <w:rPr>
          <w:rStyle w:val="None"/>
        </w:rPr>
        <w:t xml:space="preserve"> Please be aware that you may be asked to request an amendment to reduce the grant awarded if your project encounters major delays during the project implementation. If you do not comply with this request, we may have to terminate the grant </w:t>
      </w:r>
      <w:r>
        <w:rPr>
          <w:rStyle w:val="None"/>
          <w:i/>
          <w:iCs/>
        </w:rPr>
        <w:t>(see art 32)</w:t>
      </w:r>
      <w:r>
        <w:rPr>
          <w:rStyle w:val="None"/>
        </w:rPr>
        <w:t>.</w:t>
      </w:r>
    </w:p>
    <w:p w14:paraId="6A7FCDA2" w14:textId="66A2C6CA" w:rsidR="00855A5C" w:rsidRDefault="00F833A3">
      <w:pPr>
        <w:pStyle w:val="Body"/>
      </w:pPr>
      <w:r>
        <w:rPr>
          <w:rStyle w:val="None"/>
        </w:rPr>
        <w:t xml:space="preserve">The grant will be a budget-based mixed actual </w:t>
      </w:r>
      <w:r w:rsidR="00E26546">
        <w:rPr>
          <w:rStyle w:val="None"/>
        </w:rPr>
        <w:t>cost grant (actual costs, with</w:t>
      </w:r>
      <w:r>
        <w:rPr>
          <w:rStyle w:val="None"/>
        </w:rPr>
        <w:t xml:space="preserve"> flat-rate elements). This means that it will reimburse ONLY certain types of costs (eligible costs) and costs that were </w:t>
      </w:r>
      <w:r>
        <w:rPr>
          <w:rStyle w:val="None"/>
          <w:i/>
          <w:iCs/>
        </w:rPr>
        <w:t>actually</w:t>
      </w:r>
      <w:r>
        <w:rPr>
          <w:rStyle w:val="None"/>
        </w:rPr>
        <w:t xml:space="preserve"> incurred for your project (NOT the </w:t>
      </w:r>
      <w:r>
        <w:rPr>
          <w:rStyle w:val="None"/>
          <w:i/>
          <w:iCs/>
        </w:rPr>
        <w:t>budgeted</w:t>
      </w:r>
      <w:r>
        <w:rPr>
          <w:rStyle w:val="None"/>
        </w:rPr>
        <w:t xml:space="preserve"> costs).  For flat-rates, you can charge the amounts calculated as explained in the Grant Agreement </w:t>
      </w:r>
      <w:r>
        <w:rPr>
          <w:rStyle w:val="None"/>
          <w:i/>
          <w:iCs/>
        </w:rPr>
        <w:t>(see art 6 and Annex 2 and 2a)</w:t>
      </w:r>
      <w:r>
        <w:rPr>
          <w:rStyle w:val="None"/>
        </w:rPr>
        <w:t>.</w:t>
      </w:r>
    </w:p>
    <w:p w14:paraId="4400A634" w14:textId="7BF8958C" w:rsidR="00855A5C" w:rsidRDefault="00F833A3">
      <w:pPr>
        <w:pStyle w:val="Body"/>
      </w:pPr>
      <w:r>
        <w:rPr>
          <w:rStyle w:val="None"/>
        </w:rPr>
        <w:t xml:space="preserve">The costs will be reimbursed at 50% of the total eligible costs for the activities a) to e) in section 2 above and 100% for the costs of activity f) on new experimental indicators and </w:t>
      </w:r>
      <w:r w:rsidR="00BA134B">
        <w:rPr>
          <w:rStyle w:val="None"/>
        </w:rPr>
        <w:t xml:space="preserve">methodologies and </w:t>
      </w:r>
      <w:r>
        <w:rPr>
          <w:rStyle w:val="None"/>
        </w:rPr>
        <w:t>g) regarding project management and coordination. The applicant shall indicate activities with different co-funding rates in separated work packages.</w:t>
      </w:r>
    </w:p>
    <w:p w14:paraId="67F4F760" w14:textId="77777777" w:rsidR="00855A5C" w:rsidRDefault="00F833A3">
      <w:pPr>
        <w:pStyle w:val="Body"/>
        <w:widowControl w:val="0"/>
      </w:pPr>
      <w:r>
        <w:rPr>
          <w:rStyle w:val="None"/>
        </w:rPr>
        <w:t xml:space="preserve">Grants may NOT produce a profit (i.e. surplus of revenues + EU grant over costs). For-profit </w:t>
      </w:r>
      <w:proofErr w:type="spellStart"/>
      <w:r>
        <w:rPr>
          <w:rStyle w:val="None"/>
        </w:rPr>
        <w:t>organisations</w:t>
      </w:r>
      <w:proofErr w:type="spellEnd"/>
      <w:r>
        <w:rPr>
          <w:rStyle w:val="None"/>
        </w:rPr>
        <w:t xml:space="preserve"> must declare their revenues and, if there is a profit, we will deduct it from the final grant amount </w:t>
      </w:r>
      <w:r>
        <w:rPr>
          <w:rStyle w:val="None"/>
          <w:i/>
          <w:iCs/>
        </w:rPr>
        <w:t>(see art 22.3)</w:t>
      </w:r>
      <w:r>
        <w:rPr>
          <w:rStyle w:val="None"/>
        </w:rPr>
        <w:t>.</w:t>
      </w:r>
    </w:p>
    <w:p w14:paraId="3BC2F996" w14:textId="77777777" w:rsidR="00855A5C" w:rsidRDefault="00F833A3">
      <w:pPr>
        <w:pStyle w:val="Body"/>
      </w:pPr>
      <w:r>
        <w:rPr>
          <w:rStyle w:val="None"/>
        </w:rPr>
        <w:t xml:space="preserve">Moreover, please be aware that the final grant amount may be reduced in case of non-compliance with the Grant Agreement </w:t>
      </w:r>
      <w:r>
        <w:rPr>
          <w:rStyle w:val="None"/>
          <w:i/>
          <w:iCs/>
        </w:rPr>
        <w:t xml:space="preserve">(e.g. improper implementation, breach of obligations, </w:t>
      </w:r>
      <w:proofErr w:type="spellStart"/>
      <w:r>
        <w:rPr>
          <w:rStyle w:val="None"/>
          <w:i/>
          <w:iCs/>
        </w:rPr>
        <w:t>etc</w:t>
      </w:r>
      <w:proofErr w:type="spellEnd"/>
      <w:r>
        <w:rPr>
          <w:rStyle w:val="None"/>
          <w:i/>
          <w:iCs/>
        </w:rPr>
        <w:t>)</w:t>
      </w:r>
      <w:r>
        <w:rPr>
          <w:rStyle w:val="None"/>
        </w:rPr>
        <w:t>.</w:t>
      </w:r>
    </w:p>
    <w:p w14:paraId="41EDD5EB" w14:textId="77777777" w:rsidR="00855A5C" w:rsidRDefault="00F833A3">
      <w:pPr>
        <w:pStyle w:val="Body"/>
        <w:spacing w:after="120"/>
        <w:rPr>
          <w:rStyle w:val="None"/>
        </w:rPr>
      </w:pPr>
      <w:r>
        <w:rPr>
          <w:rStyle w:val="None"/>
          <w:noProof/>
          <w:lang w:val="fr-BE" w:eastAsia="fr-BE"/>
        </w:rPr>
        <w:drawing>
          <wp:inline distT="0" distB="0" distL="0" distR="0" wp14:anchorId="48EA8C27" wp14:editId="690F9F50">
            <wp:extent cx="174625" cy="174625"/>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20"/>
                    <a:stretch>
                      <a:fillRect/>
                    </a:stretch>
                  </pic:blipFill>
                  <pic:spPr>
                    <a:xfrm>
                      <a:off x="0" y="0"/>
                      <a:ext cx="174625" cy="174625"/>
                    </a:xfrm>
                    <a:prstGeom prst="rect">
                      <a:avLst/>
                    </a:prstGeom>
                    <a:ln w="12700" cap="flat">
                      <a:noFill/>
                      <a:miter lim="400000"/>
                    </a:ln>
                    <a:effectLst/>
                  </pic:spPr>
                </pic:pic>
              </a:graphicData>
            </a:graphic>
          </wp:inline>
        </w:drawing>
      </w:r>
      <w:r>
        <w:rPr>
          <w:rStyle w:val="None"/>
        </w:rPr>
        <w:t xml:space="preserve"> Please be aware that project management costs (including related tasks, such as consortium-internal progress meetings, project reporting </w:t>
      </w:r>
      <w:proofErr w:type="spellStart"/>
      <w:r>
        <w:rPr>
          <w:rStyle w:val="None"/>
        </w:rPr>
        <w:t>etc</w:t>
      </w:r>
      <w:proofErr w:type="spellEnd"/>
      <w:r>
        <w:rPr>
          <w:rStyle w:val="None"/>
        </w:rPr>
        <w:t>) should not exceed 10% of total costs for the project. Costs exceeding this limit will be rejected during grant preparation.</w:t>
      </w:r>
    </w:p>
    <w:p w14:paraId="5C347DD3" w14:textId="77777777" w:rsidR="00855A5C" w:rsidRDefault="00F833A3">
      <w:pPr>
        <w:pStyle w:val="Body"/>
        <w:spacing w:after="120"/>
        <w:rPr>
          <w:rStyle w:val="None"/>
          <w:i/>
          <w:iCs/>
        </w:rPr>
      </w:pPr>
      <w:r>
        <w:rPr>
          <w:rStyle w:val="None"/>
          <w:i/>
          <w:iCs/>
        </w:rPr>
        <w:t>Budget categories for this call:</w:t>
      </w:r>
    </w:p>
    <w:p w14:paraId="64CBDF3E" w14:textId="77777777" w:rsidR="00855A5C" w:rsidRDefault="00F833A3">
      <w:pPr>
        <w:pStyle w:val="Body"/>
        <w:widowControl w:val="0"/>
        <w:numPr>
          <w:ilvl w:val="0"/>
          <w:numId w:val="26"/>
        </w:numPr>
        <w:spacing w:after="120"/>
        <w:jc w:val="left"/>
        <w:rPr>
          <w:lang w:val="it-IT"/>
        </w:rPr>
      </w:pPr>
      <w:r>
        <w:rPr>
          <w:rStyle w:val="None"/>
          <w:lang w:val="it-IT"/>
        </w:rPr>
        <w:t xml:space="preserve">A. </w:t>
      </w:r>
      <w:proofErr w:type="spellStart"/>
      <w:r>
        <w:rPr>
          <w:rStyle w:val="None"/>
          <w:lang w:val="it-IT"/>
        </w:rPr>
        <w:t>Personnel</w:t>
      </w:r>
      <w:proofErr w:type="spellEnd"/>
      <w:r>
        <w:rPr>
          <w:rStyle w:val="None"/>
          <w:lang w:val="it-IT"/>
        </w:rPr>
        <w:t xml:space="preserve"> </w:t>
      </w:r>
      <w:proofErr w:type="spellStart"/>
      <w:r>
        <w:rPr>
          <w:rStyle w:val="None"/>
          <w:lang w:val="it-IT"/>
        </w:rPr>
        <w:t>costs</w:t>
      </w:r>
      <w:proofErr w:type="spellEnd"/>
    </w:p>
    <w:p w14:paraId="7C403452" w14:textId="77777777" w:rsidR="00855A5C" w:rsidRDefault="00F833A3">
      <w:pPr>
        <w:pStyle w:val="Body"/>
        <w:widowControl w:val="0"/>
        <w:numPr>
          <w:ilvl w:val="1"/>
          <w:numId w:val="28"/>
        </w:numPr>
        <w:spacing w:after="120"/>
        <w:jc w:val="left"/>
      </w:pPr>
      <w:r>
        <w:rPr>
          <w:rStyle w:val="None"/>
        </w:rPr>
        <w:t xml:space="preserve">A.1 Employees, A.2 Natural persons under direct contract, A.3 Seconded persons </w:t>
      </w:r>
    </w:p>
    <w:p w14:paraId="46243615" w14:textId="77777777" w:rsidR="00855A5C" w:rsidRDefault="00F833A3">
      <w:pPr>
        <w:pStyle w:val="Body"/>
        <w:widowControl w:val="0"/>
        <w:numPr>
          <w:ilvl w:val="1"/>
          <w:numId w:val="28"/>
        </w:numPr>
        <w:spacing w:after="120"/>
        <w:jc w:val="left"/>
      </w:pPr>
      <w:r>
        <w:rPr>
          <w:rStyle w:val="None"/>
        </w:rPr>
        <w:t xml:space="preserve">A.4 SME owners and natural person beneficiaries </w:t>
      </w:r>
    </w:p>
    <w:p w14:paraId="763BAD0D" w14:textId="77777777" w:rsidR="00855A5C" w:rsidRDefault="00F833A3">
      <w:pPr>
        <w:pStyle w:val="Body"/>
        <w:widowControl w:val="0"/>
        <w:numPr>
          <w:ilvl w:val="0"/>
          <w:numId w:val="26"/>
        </w:numPr>
        <w:spacing w:after="120"/>
        <w:jc w:val="left"/>
      </w:pPr>
      <w:r>
        <w:rPr>
          <w:rStyle w:val="None"/>
        </w:rPr>
        <w:t xml:space="preserve">B. Subcontracting costs </w:t>
      </w:r>
    </w:p>
    <w:p w14:paraId="6A6ABB5D" w14:textId="77777777" w:rsidR="00855A5C" w:rsidRDefault="00F833A3">
      <w:pPr>
        <w:pStyle w:val="Body"/>
        <w:widowControl w:val="0"/>
        <w:numPr>
          <w:ilvl w:val="0"/>
          <w:numId w:val="26"/>
        </w:numPr>
        <w:spacing w:after="120"/>
        <w:jc w:val="left"/>
      </w:pPr>
      <w:r>
        <w:rPr>
          <w:rStyle w:val="None"/>
        </w:rPr>
        <w:t>C. Purchase costs</w:t>
      </w:r>
    </w:p>
    <w:p w14:paraId="1BA2D181" w14:textId="77777777" w:rsidR="00855A5C" w:rsidRDefault="00F833A3">
      <w:pPr>
        <w:pStyle w:val="Body"/>
        <w:widowControl w:val="0"/>
        <w:numPr>
          <w:ilvl w:val="0"/>
          <w:numId w:val="29"/>
        </w:numPr>
        <w:spacing w:after="120"/>
        <w:jc w:val="left"/>
      </w:pPr>
      <w:r>
        <w:rPr>
          <w:rStyle w:val="None"/>
        </w:rPr>
        <w:t>C.1 Travel and subsistence</w:t>
      </w:r>
    </w:p>
    <w:p w14:paraId="504BF8DC" w14:textId="77777777" w:rsidR="00855A5C" w:rsidRDefault="00F833A3">
      <w:pPr>
        <w:pStyle w:val="Body"/>
        <w:widowControl w:val="0"/>
        <w:numPr>
          <w:ilvl w:val="0"/>
          <w:numId w:val="29"/>
        </w:numPr>
        <w:spacing w:after="120"/>
        <w:jc w:val="left"/>
        <w:rPr>
          <w:lang w:val="fr-FR"/>
        </w:rPr>
      </w:pPr>
      <w:r>
        <w:rPr>
          <w:rStyle w:val="None"/>
          <w:lang w:val="fr-FR"/>
        </w:rPr>
        <w:t xml:space="preserve">C.2 Equipment </w:t>
      </w:r>
    </w:p>
    <w:p w14:paraId="0D96F634" w14:textId="77777777" w:rsidR="00855A5C" w:rsidRDefault="00F833A3">
      <w:pPr>
        <w:pStyle w:val="Body"/>
        <w:widowControl w:val="0"/>
        <w:numPr>
          <w:ilvl w:val="0"/>
          <w:numId w:val="29"/>
        </w:numPr>
        <w:spacing w:after="120"/>
        <w:jc w:val="left"/>
      </w:pPr>
      <w:r>
        <w:rPr>
          <w:rStyle w:val="None"/>
        </w:rPr>
        <w:t xml:space="preserve">C.3 Other goods, works and services </w:t>
      </w:r>
    </w:p>
    <w:p w14:paraId="736FDA0A" w14:textId="77777777" w:rsidR="00855A5C" w:rsidRDefault="00F833A3">
      <w:pPr>
        <w:pStyle w:val="Body"/>
        <w:widowControl w:val="0"/>
        <w:numPr>
          <w:ilvl w:val="0"/>
          <w:numId w:val="26"/>
        </w:numPr>
        <w:spacing w:after="120"/>
        <w:jc w:val="left"/>
        <w:rPr>
          <w:i/>
          <w:iCs/>
        </w:rPr>
      </w:pPr>
      <w:r>
        <w:rPr>
          <w:rStyle w:val="None"/>
        </w:rPr>
        <w:t xml:space="preserve">E. Indirect costs </w:t>
      </w:r>
    </w:p>
    <w:p w14:paraId="250CB7D5" w14:textId="77777777" w:rsidR="00855A5C" w:rsidRDefault="00F833A3">
      <w:pPr>
        <w:pStyle w:val="Body"/>
        <w:spacing w:after="120"/>
        <w:rPr>
          <w:rStyle w:val="None"/>
          <w:i/>
          <w:iCs/>
        </w:rPr>
      </w:pPr>
      <w:r>
        <w:rPr>
          <w:rStyle w:val="None"/>
          <w:i/>
          <w:iCs/>
        </w:rPr>
        <w:t xml:space="preserve">Specific cost eligibility conditions for this call: </w:t>
      </w:r>
    </w:p>
    <w:p w14:paraId="73F52624" w14:textId="77777777" w:rsidR="00855A5C" w:rsidRDefault="00F833A3">
      <w:pPr>
        <w:pStyle w:val="Body"/>
        <w:numPr>
          <w:ilvl w:val="0"/>
          <w:numId w:val="26"/>
        </w:numPr>
        <w:spacing w:after="120"/>
        <w:rPr>
          <w:lang w:val="it-IT"/>
        </w:rPr>
      </w:pPr>
      <w:proofErr w:type="spellStart"/>
      <w:r>
        <w:rPr>
          <w:rStyle w:val="None"/>
          <w:lang w:val="it-IT"/>
        </w:rPr>
        <w:t>personnel</w:t>
      </w:r>
      <w:proofErr w:type="spellEnd"/>
      <w:r>
        <w:rPr>
          <w:rStyle w:val="None"/>
          <w:lang w:val="it-IT"/>
        </w:rPr>
        <w:t xml:space="preserve"> </w:t>
      </w:r>
      <w:proofErr w:type="spellStart"/>
      <w:r>
        <w:rPr>
          <w:rStyle w:val="None"/>
          <w:lang w:val="it-IT"/>
        </w:rPr>
        <w:t>costs</w:t>
      </w:r>
      <w:proofErr w:type="spellEnd"/>
      <w:r>
        <w:rPr>
          <w:rStyle w:val="None"/>
          <w:lang w:val="it-IT"/>
        </w:rPr>
        <w:t xml:space="preserve">: </w:t>
      </w:r>
    </w:p>
    <w:p w14:paraId="1EC52306" w14:textId="77777777" w:rsidR="00855A5C" w:rsidRDefault="00F833A3">
      <w:pPr>
        <w:pStyle w:val="Body"/>
        <w:numPr>
          <w:ilvl w:val="0"/>
          <w:numId w:val="29"/>
        </w:numPr>
        <w:spacing w:after="120"/>
      </w:pPr>
      <w:r>
        <w:rPr>
          <w:rStyle w:val="None"/>
        </w:rPr>
        <w:t>average personnel costs (unit cost according to usual cost accounting practices): Yes</w:t>
      </w:r>
    </w:p>
    <w:p w14:paraId="0BDD5F0C" w14:textId="77777777" w:rsidR="00855A5C" w:rsidRDefault="00F833A3">
      <w:pPr>
        <w:pStyle w:val="Body"/>
        <w:numPr>
          <w:ilvl w:val="0"/>
          <w:numId w:val="29"/>
        </w:numPr>
        <w:spacing w:after="120"/>
      </w:pPr>
      <w:r>
        <w:rPr>
          <w:rStyle w:val="None"/>
        </w:rPr>
        <w:t>SME owner/natural person unit cost</w:t>
      </w:r>
      <w:r>
        <w:rPr>
          <w:rStyle w:val="None"/>
          <w:position w:val="8"/>
          <w:vertAlign w:val="superscript"/>
        </w:rPr>
        <w:footnoteReference w:id="6"/>
      </w:r>
      <w:r w:rsidRPr="00E26546">
        <w:rPr>
          <w:rStyle w:val="None"/>
          <w:lang w:val="en-IE"/>
        </w:rPr>
        <w:t xml:space="preserve"> : Yes</w:t>
      </w:r>
    </w:p>
    <w:p w14:paraId="4693F5DF" w14:textId="77777777" w:rsidR="00855A5C" w:rsidRDefault="00F833A3">
      <w:pPr>
        <w:pStyle w:val="Body"/>
        <w:numPr>
          <w:ilvl w:val="0"/>
          <w:numId w:val="26"/>
        </w:numPr>
        <w:spacing w:after="120"/>
      </w:pPr>
      <w:r>
        <w:rPr>
          <w:rStyle w:val="None"/>
        </w:rPr>
        <w:lastRenderedPageBreak/>
        <w:t>subcontracting costs:</w:t>
      </w:r>
    </w:p>
    <w:p w14:paraId="354C53CA" w14:textId="77777777" w:rsidR="00855A5C" w:rsidRDefault="00F833A3">
      <w:pPr>
        <w:pStyle w:val="Body"/>
        <w:numPr>
          <w:ilvl w:val="0"/>
          <w:numId w:val="29"/>
        </w:numPr>
        <w:spacing w:after="120"/>
      </w:pPr>
      <w:r>
        <w:rPr>
          <w:rStyle w:val="None"/>
        </w:rPr>
        <w:t xml:space="preserve">country restrictions for subcontracting costs: Yes, subcontracted work must be performed in the eligible countries </w:t>
      </w:r>
    </w:p>
    <w:p w14:paraId="4C3735D0" w14:textId="77777777" w:rsidR="00855A5C" w:rsidRDefault="00F833A3">
      <w:pPr>
        <w:pStyle w:val="Body"/>
        <w:numPr>
          <w:ilvl w:val="0"/>
          <w:numId w:val="26"/>
        </w:numPr>
        <w:spacing w:after="120"/>
      </w:pPr>
      <w:r>
        <w:rPr>
          <w:rStyle w:val="None"/>
        </w:rPr>
        <w:t>travel and subsistence unit cost</w:t>
      </w:r>
      <w:r>
        <w:rPr>
          <w:rStyle w:val="None"/>
          <w:position w:val="8"/>
          <w:vertAlign w:val="superscript"/>
        </w:rPr>
        <w:footnoteReference w:id="7"/>
      </w:r>
      <w:r>
        <w:rPr>
          <w:rStyle w:val="None"/>
        </w:rPr>
        <w:t>: No (only actual costs)</w:t>
      </w:r>
      <w:r>
        <w:rPr>
          <w:rStyle w:val="None"/>
          <w:color w:val="FF0000"/>
          <w:u w:color="FF0000"/>
        </w:rPr>
        <w:t xml:space="preserve"> </w:t>
      </w:r>
    </w:p>
    <w:p w14:paraId="7D1846B3" w14:textId="77777777" w:rsidR="00855A5C" w:rsidRDefault="00F833A3">
      <w:pPr>
        <w:pStyle w:val="Body"/>
        <w:numPr>
          <w:ilvl w:val="0"/>
          <w:numId w:val="26"/>
        </w:numPr>
        <w:spacing w:after="120"/>
      </w:pPr>
      <w:r>
        <w:rPr>
          <w:rStyle w:val="None"/>
        </w:rPr>
        <w:t>equipment costs: depreciation</w:t>
      </w:r>
    </w:p>
    <w:p w14:paraId="275D2E93" w14:textId="77777777" w:rsidR="00855A5C" w:rsidRDefault="00F833A3">
      <w:pPr>
        <w:pStyle w:val="Body"/>
        <w:numPr>
          <w:ilvl w:val="0"/>
          <w:numId w:val="26"/>
        </w:numPr>
        <w:spacing w:after="120"/>
      </w:pPr>
      <w:r>
        <w:rPr>
          <w:rStyle w:val="None"/>
        </w:rPr>
        <w:t>other cost categories:</w:t>
      </w:r>
    </w:p>
    <w:p w14:paraId="3CD08675" w14:textId="77777777" w:rsidR="00855A5C" w:rsidRDefault="00F833A3">
      <w:pPr>
        <w:pStyle w:val="Body"/>
        <w:numPr>
          <w:ilvl w:val="0"/>
          <w:numId w:val="29"/>
        </w:numPr>
        <w:spacing w:after="120"/>
      </w:pPr>
      <w:r>
        <w:rPr>
          <w:rStyle w:val="None"/>
        </w:rPr>
        <w:t xml:space="preserve">costs for financial support to third parties: not allowed </w:t>
      </w:r>
    </w:p>
    <w:p w14:paraId="26C3142B" w14:textId="105C92EC" w:rsidR="00855A5C" w:rsidRPr="00E26546" w:rsidRDefault="00F833A3">
      <w:pPr>
        <w:pStyle w:val="Body"/>
        <w:numPr>
          <w:ilvl w:val="0"/>
          <w:numId w:val="26"/>
        </w:numPr>
        <w:spacing w:after="120"/>
        <w:rPr>
          <w:lang w:val="en-IE"/>
        </w:rPr>
      </w:pPr>
      <w:proofErr w:type="gramStart"/>
      <w:r w:rsidRPr="00E26546">
        <w:rPr>
          <w:rStyle w:val="None"/>
          <w:lang w:val="en-IE"/>
        </w:rPr>
        <w:t>indirect</w:t>
      </w:r>
      <w:proofErr w:type="gramEnd"/>
      <w:r w:rsidRPr="00E26546">
        <w:rPr>
          <w:rStyle w:val="None"/>
          <w:lang w:val="en-IE"/>
        </w:rPr>
        <w:t xml:space="preserve"> cost flat-rate: </w:t>
      </w:r>
      <w:r w:rsidR="00F37A74">
        <w:rPr>
          <w:rStyle w:val="None"/>
        </w:rPr>
        <w:t>0</w:t>
      </w:r>
      <w:r>
        <w:rPr>
          <w:rStyle w:val="None"/>
        </w:rPr>
        <w:t xml:space="preserve">% of the eligible direct costs </w:t>
      </w:r>
      <w:r w:rsidR="00F37A74">
        <w:rPr>
          <w:rStyle w:val="None"/>
        </w:rPr>
        <w:t>Indirect costs are not eligible.</w:t>
      </w:r>
      <w:r>
        <w:br/>
      </w:r>
    </w:p>
    <w:p w14:paraId="24E96B0C" w14:textId="77777777" w:rsidR="00855A5C" w:rsidRDefault="00F833A3">
      <w:pPr>
        <w:pStyle w:val="Body"/>
        <w:numPr>
          <w:ilvl w:val="0"/>
          <w:numId w:val="26"/>
        </w:numPr>
        <w:spacing w:after="120"/>
      </w:pPr>
      <w:r>
        <w:rPr>
          <w:rStyle w:val="None"/>
        </w:rPr>
        <w:t>VAT: VAT is NOT eligible</w:t>
      </w:r>
    </w:p>
    <w:p w14:paraId="29BC7265" w14:textId="77777777" w:rsidR="00855A5C" w:rsidRDefault="00F833A3">
      <w:pPr>
        <w:pStyle w:val="Body"/>
        <w:numPr>
          <w:ilvl w:val="0"/>
          <w:numId w:val="26"/>
        </w:numPr>
        <w:spacing w:after="120"/>
      </w:pPr>
      <w:r>
        <w:rPr>
          <w:rStyle w:val="None"/>
        </w:rPr>
        <w:t>other:</w:t>
      </w:r>
    </w:p>
    <w:p w14:paraId="3D7D47A9" w14:textId="77777777" w:rsidR="00855A5C" w:rsidRDefault="00F833A3">
      <w:pPr>
        <w:pStyle w:val="Body"/>
        <w:numPr>
          <w:ilvl w:val="0"/>
          <w:numId w:val="29"/>
        </w:numPr>
        <w:spacing w:after="120"/>
      </w:pPr>
      <w:r>
        <w:rPr>
          <w:rStyle w:val="None"/>
        </w:rPr>
        <w:t>in-kind contributions for free are allowed, but cost-neutral, i.e. they cannot be declared as cost</w:t>
      </w:r>
    </w:p>
    <w:p w14:paraId="0A32F65D" w14:textId="38C36DAF" w:rsidR="00855A5C" w:rsidRDefault="00F833A3">
      <w:pPr>
        <w:pStyle w:val="Body"/>
        <w:numPr>
          <w:ilvl w:val="0"/>
          <w:numId w:val="29"/>
        </w:numPr>
        <w:spacing w:after="120"/>
      </w:pPr>
      <w:r>
        <w:rPr>
          <w:rStyle w:val="None"/>
        </w:rPr>
        <w:t>project websites: communication costs for presenting the project on the participants</w:t>
      </w:r>
      <w:r>
        <w:rPr>
          <w:rStyle w:val="None"/>
          <w:rtl/>
        </w:rPr>
        <w:t xml:space="preserve">’ </w:t>
      </w:r>
      <w:r>
        <w:rPr>
          <w:rStyle w:val="None"/>
        </w:rPr>
        <w:t xml:space="preserve">websites or social media accounts are eligible; </w:t>
      </w:r>
      <w:r>
        <w:rPr>
          <w:rStyle w:val="None"/>
        </w:rPr>
        <w:br/>
      </w:r>
    </w:p>
    <w:p w14:paraId="60220AB3" w14:textId="73002F73" w:rsidR="00855A5C" w:rsidRDefault="00F833A3">
      <w:pPr>
        <w:pStyle w:val="Body"/>
        <w:numPr>
          <w:ilvl w:val="0"/>
          <w:numId w:val="29"/>
        </w:numPr>
        <w:spacing w:after="120"/>
      </w:pPr>
      <w:proofErr w:type="gramStart"/>
      <w:r>
        <w:rPr>
          <w:rStyle w:val="None"/>
        </w:rPr>
        <w:t>eligible</w:t>
      </w:r>
      <w:proofErr w:type="gramEnd"/>
      <w:r>
        <w:rPr>
          <w:rStyle w:val="None"/>
        </w:rPr>
        <w:t xml:space="preserve"> cost country restrictions: Yes, only costs for activities carried out in eligible countries or target countries are eligible</w:t>
      </w:r>
      <w:r w:rsidR="00BA134B">
        <w:rPr>
          <w:rStyle w:val="None"/>
        </w:rPr>
        <w:t xml:space="preserve">, with the </w:t>
      </w:r>
      <w:r w:rsidR="00F37A74">
        <w:rPr>
          <w:rStyle w:val="None"/>
        </w:rPr>
        <w:t xml:space="preserve">possible </w:t>
      </w:r>
      <w:r w:rsidR="00BA134B">
        <w:rPr>
          <w:rStyle w:val="None"/>
        </w:rPr>
        <w:t>exception of some limited outreach activities in non-EU countries to be agreed in advance with the Commission.</w:t>
      </w:r>
    </w:p>
    <w:p w14:paraId="150168B8" w14:textId="77777777" w:rsidR="00855A5C" w:rsidRDefault="00F833A3">
      <w:pPr>
        <w:pStyle w:val="Heading3"/>
      </w:pPr>
      <w:r>
        <w:rPr>
          <w:rStyle w:val="None"/>
          <w:rFonts w:eastAsia="Arial Unicode MS" w:cs="Arial Unicode MS"/>
          <w:lang w:val="en-US"/>
        </w:rPr>
        <w:t xml:space="preserve">Reporting and payment arrangements </w:t>
      </w:r>
    </w:p>
    <w:p w14:paraId="721B1FB3" w14:textId="77777777" w:rsidR="00855A5C" w:rsidRDefault="00F833A3">
      <w:pPr>
        <w:pStyle w:val="Text2"/>
        <w:ind w:left="0"/>
        <w:rPr>
          <w:rStyle w:val="None"/>
        </w:rPr>
      </w:pPr>
      <w:r>
        <w:rPr>
          <w:rStyle w:val="None"/>
        </w:rPr>
        <w:t xml:space="preserve">The reporting and payment arrangements are fixed in the Grant Agreement </w:t>
      </w:r>
      <w:r>
        <w:rPr>
          <w:rStyle w:val="None"/>
          <w:i/>
          <w:iCs/>
        </w:rPr>
        <w:t>(Data Sheet, point 4 and art 21 and 22)</w:t>
      </w:r>
      <w:r>
        <w:rPr>
          <w:rStyle w:val="None"/>
        </w:rPr>
        <w:t>.</w:t>
      </w:r>
    </w:p>
    <w:p w14:paraId="159C1376" w14:textId="77777777" w:rsidR="00855A5C" w:rsidRDefault="00F833A3">
      <w:pPr>
        <w:pStyle w:val="Text2"/>
        <w:ind w:left="0"/>
        <w:rPr>
          <w:rStyle w:val="None"/>
        </w:rPr>
      </w:pPr>
      <w:r>
        <w:rPr>
          <w:rStyle w:val="None"/>
        </w:rPr>
        <w:t xml:space="preserve">After grant signature, you will normally receive a </w:t>
      </w:r>
      <w:r>
        <w:rPr>
          <w:rStyle w:val="None"/>
          <w:b/>
          <w:bCs/>
        </w:rPr>
        <w:t xml:space="preserve">pre-financing </w:t>
      </w:r>
      <w:r>
        <w:rPr>
          <w:rStyle w:val="None"/>
        </w:rPr>
        <w:t>to start working on the project. The amount will be established based on the grant type or estimated project duration at the time of grant signature and will vary between 25% and 50%. The pre-financing will be paid 30 days from entry into force/financial guarantee (if required — whichever is the latest</w:t>
      </w:r>
      <w:r>
        <w:rPr>
          <w:rStyle w:val="None"/>
          <w:i/>
          <w:iCs/>
        </w:rPr>
        <w:t xml:space="preserve">. </w:t>
      </w:r>
    </w:p>
    <w:p w14:paraId="1FA34C0B" w14:textId="77777777" w:rsidR="00855A5C" w:rsidRDefault="00F833A3">
      <w:pPr>
        <w:pStyle w:val="Text2"/>
        <w:ind w:left="0"/>
        <w:rPr>
          <w:rStyle w:val="None"/>
        </w:rPr>
      </w:pPr>
      <w:r>
        <w:rPr>
          <w:rStyle w:val="None"/>
        </w:rPr>
        <w:t xml:space="preserve">There will be one or more </w:t>
      </w:r>
      <w:r>
        <w:rPr>
          <w:rStyle w:val="None"/>
          <w:b/>
          <w:bCs/>
        </w:rPr>
        <w:t>interim payments</w:t>
      </w:r>
      <w:r>
        <w:rPr>
          <w:rStyle w:val="None"/>
        </w:rPr>
        <w:t xml:space="preserve"> (with detailed cost reporting). </w:t>
      </w:r>
    </w:p>
    <w:p w14:paraId="56A901FC" w14:textId="77777777" w:rsidR="00855A5C" w:rsidRDefault="00F833A3">
      <w:pPr>
        <w:pStyle w:val="Text2"/>
        <w:ind w:left="0"/>
        <w:rPr>
          <w:rStyle w:val="None"/>
        </w:rPr>
      </w:pPr>
      <w:r>
        <w:rPr>
          <w:rStyle w:val="None"/>
        </w:rPr>
        <w:t>In addition, you will be expected to submit one or more progress reports not linked to payments.</w:t>
      </w:r>
    </w:p>
    <w:p w14:paraId="2CBDFF08" w14:textId="77777777" w:rsidR="00855A5C" w:rsidRDefault="00F833A3">
      <w:pPr>
        <w:pStyle w:val="Text2"/>
        <w:ind w:left="0"/>
        <w:rPr>
          <w:rStyle w:val="None"/>
        </w:rPr>
      </w:pPr>
      <w:r>
        <w:rPr>
          <w:rStyle w:val="None"/>
          <w:b/>
          <w:bCs/>
        </w:rPr>
        <w:t>Payment of the balance</w:t>
      </w:r>
      <w:r>
        <w:rPr>
          <w:rStyle w:val="None"/>
        </w:rPr>
        <w:t>: At the end of the project, we will calculate your final grant amount. If the total of earlier payments is higher than the final grant amount, we will ask you (your coordinator) to pay back the difference (recovery).</w:t>
      </w:r>
    </w:p>
    <w:p w14:paraId="0FEDB19F" w14:textId="77777777" w:rsidR="00855A5C" w:rsidRDefault="00F833A3">
      <w:pPr>
        <w:pStyle w:val="Text2"/>
        <w:ind w:left="0"/>
        <w:rPr>
          <w:rStyle w:val="None"/>
        </w:rPr>
      </w:pPr>
      <w:r>
        <w:rPr>
          <w:rStyle w:val="None"/>
        </w:rPr>
        <w:t>All payments will be made to the coordinator.</w:t>
      </w:r>
    </w:p>
    <w:p w14:paraId="2CC3E0D4" w14:textId="77777777" w:rsidR="00855A5C" w:rsidRDefault="00F833A3">
      <w:pPr>
        <w:pStyle w:val="Text2"/>
        <w:ind w:left="0"/>
        <w:rPr>
          <w:rStyle w:val="None"/>
        </w:rPr>
      </w:pPr>
      <w:r>
        <w:rPr>
          <w:rStyle w:val="None"/>
          <w:noProof/>
          <w:lang w:val="fr-BE" w:eastAsia="fr-BE"/>
        </w:rPr>
        <w:drawing>
          <wp:inline distT="0" distB="0" distL="0" distR="0" wp14:anchorId="175FB687" wp14:editId="4DEA1330">
            <wp:extent cx="174625" cy="174625"/>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20"/>
                    <a:stretch>
                      <a:fillRect/>
                    </a:stretch>
                  </pic:blipFill>
                  <pic:spPr>
                    <a:xfrm>
                      <a:off x="0" y="0"/>
                      <a:ext cx="174625" cy="174625"/>
                    </a:xfrm>
                    <a:prstGeom prst="rect">
                      <a:avLst/>
                    </a:prstGeom>
                    <a:ln w="12700" cap="flat">
                      <a:noFill/>
                      <a:miter lim="400000"/>
                    </a:ln>
                    <a:effectLst/>
                  </pic:spPr>
                </pic:pic>
              </a:graphicData>
            </a:graphic>
          </wp:inline>
        </w:drawing>
      </w:r>
      <w:r>
        <w:rPr>
          <w:rStyle w:val="None"/>
        </w:rPr>
        <w:t xml:space="preserve"> Please be aware that payments will be automatically lowered if one of your consortium members has outstanding debts towards the EU (granting authority or other EU bodies). Such debts will be offset by us — in line with the conditions set out in the Grant Agreement </w:t>
      </w:r>
      <w:r>
        <w:rPr>
          <w:rStyle w:val="None"/>
          <w:i/>
          <w:iCs/>
        </w:rPr>
        <w:t>(see art 22)</w:t>
      </w:r>
      <w:r>
        <w:rPr>
          <w:rStyle w:val="None"/>
        </w:rPr>
        <w:t>.</w:t>
      </w:r>
    </w:p>
    <w:p w14:paraId="7194E41A" w14:textId="77777777" w:rsidR="00855A5C" w:rsidRDefault="00F833A3" w:rsidP="007C020C">
      <w:pPr>
        <w:pStyle w:val="Text2"/>
        <w:ind w:left="0"/>
        <w:jc w:val="left"/>
        <w:rPr>
          <w:rStyle w:val="None"/>
        </w:rPr>
      </w:pPr>
      <w:r>
        <w:rPr>
          <w:rStyle w:val="None"/>
        </w:rPr>
        <w:lastRenderedPageBreak/>
        <w:t xml:space="preserve">Please also note that you are responsible for keeping records on all the work done and the costs declared. </w:t>
      </w:r>
      <w:r>
        <w:rPr>
          <w:rStyle w:val="None"/>
        </w:rPr>
        <w:br/>
      </w:r>
    </w:p>
    <w:p w14:paraId="77FFB766" w14:textId="77777777" w:rsidR="00855A5C" w:rsidRDefault="00F833A3" w:rsidP="007C020C">
      <w:pPr>
        <w:pStyle w:val="Heading3"/>
        <w:jc w:val="left"/>
      </w:pPr>
      <w:proofErr w:type="spellStart"/>
      <w:r>
        <w:rPr>
          <w:rStyle w:val="None"/>
          <w:rFonts w:eastAsia="Arial Unicode MS" w:cs="Arial Unicode MS"/>
          <w:lang w:val="en-US"/>
        </w:rPr>
        <w:t>Prefinancing</w:t>
      </w:r>
      <w:proofErr w:type="spellEnd"/>
      <w:r>
        <w:rPr>
          <w:rStyle w:val="None"/>
          <w:rFonts w:eastAsia="Arial Unicode MS" w:cs="Arial Unicode MS"/>
          <w:lang w:val="en-US"/>
        </w:rPr>
        <w:t xml:space="preserve"> guarantees </w:t>
      </w:r>
      <w:r>
        <w:br/>
      </w:r>
    </w:p>
    <w:p w14:paraId="282BAAEF" w14:textId="77777777" w:rsidR="00855A5C" w:rsidRDefault="00F833A3">
      <w:pPr>
        <w:pStyle w:val="Text2"/>
        <w:ind w:left="0"/>
      </w:pPr>
      <w:r>
        <w:rPr>
          <w:rStyle w:val="None"/>
        </w:rPr>
        <w:t xml:space="preserve">If a </w:t>
      </w:r>
      <w:proofErr w:type="spellStart"/>
      <w:r>
        <w:rPr>
          <w:rStyle w:val="None"/>
        </w:rPr>
        <w:t>prefinancing</w:t>
      </w:r>
      <w:proofErr w:type="spellEnd"/>
      <w:r>
        <w:rPr>
          <w:rStyle w:val="None"/>
        </w:rPr>
        <w:t xml:space="preserve"> guarantee is required, it will be fixed in the Grant Agreement </w:t>
      </w:r>
      <w:r>
        <w:rPr>
          <w:rStyle w:val="None"/>
          <w:i/>
          <w:iCs/>
        </w:rPr>
        <w:t>(Data Sheet, point 4)</w:t>
      </w:r>
      <w:r>
        <w:rPr>
          <w:rStyle w:val="None"/>
        </w:rPr>
        <w:t xml:space="preserve">. The amount will be set during grant preparation and it will normally be equal or lower than the </w:t>
      </w:r>
      <w:proofErr w:type="spellStart"/>
      <w:r>
        <w:rPr>
          <w:rStyle w:val="None"/>
        </w:rPr>
        <w:t>prefinancing</w:t>
      </w:r>
      <w:proofErr w:type="spellEnd"/>
      <w:r>
        <w:rPr>
          <w:rStyle w:val="None"/>
        </w:rPr>
        <w:t xml:space="preserve"> for your grant.</w:t>
      </w:r>
    </w:p>
    <w:p w14:paraId="2E495570" w14:textId="77777777" w:rsidR="00855A5C" w:rsidRDefault="00F833A3">
      <w:pPr>
        <w:pStyle w:val="Text2"/>
        <w:ind w:left="0"/>
      </w:pPr>
      <w:r>
        <w:rPr>
          <w:rStyle w:val="None"/>
        </w:rPr>
        <w:t>The guarantee should be in euro and issued by an approved bank/financial institution established in an EU Member State. If you are established in a non-EU country and would like to provide a guarantee from a bank/financial institution in your country, please contact us (this may be exceptionally accepted, if it offers equivalent security).</w:t>
      </w:r>
    </w:p>
    <w:p w14:paraId="4E5F6F85" w14:textId="77777777" w:rsidR="00855A5C" w:rsidRDefault="00F833A3">
      <w:pPr>
        <w:pStyle w:val="Text2"/>
        <w:ind w:left="0"/>
      </w:pPr>
      <w:r>
        <w:rPr>
          <w:rStyle w:val="None"/>
        </w:rPr>
        <w:t>Amounts blocked in bank accounts will NOT be accepted as financial guarantees.</w:t>
      </w:r>
    </w:p>
    <w:p w14:paraId="3E46263F" w14:textId="77777777" w:rsidR="00855A5C" w:rsidRDefault="00F833A3">
      <w:pPr>
        <w:pStyle w:val="Text2"/>
        <w:ind w:left="0"/>
      </w:pPr>
      <w:proofErr w:type="spellStart"/>
      <w:r>
        <w:rPr>
          <w:rStyle w:val="None"/>
        </w:rPr>
        <w:t>Prefinancing</w:t>
      </w:r>
      <w:proofErr w:type="spellEnd"/>
      <w:r>
        <w:rPr>
          <w:rStyle w:val="None"/>
        </w:rPr>
        <w:t xml:space="preserve"> guarantees are formally NOT linked to individual consortium members, which means that you are free to </w:t>
      </w:r>
      <w:proofErr w:type="spellStart"/>
      <w:r>
        <w:rPr>
          <w:rStyle w:val="None"/>
        </w:rPr>
        <w:t>organise</w:t>
      </w:r>
      <w:proofErr w:type="spellEnd"/>
      <w:r>
        <w:rPr>
          <w:rStyle w:val="None"/>
        </w:rPr>
        <w:t xml:space="preserve"> how to provide the guarantee amount </w:t>
      </w:r>
      <w:r>
        <w:rPr>
          <w:rStyle w:val="None"/>
          <w:i/>
          <w:iCs/>
        </w:rPr>
        <w:t xml:space="preserve">(by one or several beneficiaries, for the overall amount or several guarantees for partial amounts, by the beneficiary concerned or by another beneficiary, </w:t>
      </w:r>
      <w:proofErr w:type="spellStart"/>
      <w:r>
        <w:rPr>
          <w:rStyle w:val="None"/>
          <w:i/>
          <w:iCs/>
        </w:rPr>
        <w:t>etc</w:t>
      </w:r>
      <w:proofErr w:type="spellEnd"/>
      <w:r>
        <w:rPr>
          <w:rStyle w:val="None"/>
          <w:i/>
          <w:iCs/>
        </w:rPr>
        <w:t>)</w:t>
      </w:r>
      <w:r>
        <w:rPr>
          <w:rStyle w:val="None"/>
        </w:rPr>
        <w:t xml:space="preserve">. It is however important that the requested amount is covered and that the guarantee(s) are sent to us in time to make the </w:t>
      </w:r>
      <w:proofErr w:type="spellStart"/>
      <w:r>
        <w:rPr>
          <w:rStyle w:val="None"/>
        </w:rPr>
        <w:t>prefinancing</w:t>
      </w:r>
      <w:proofErr w:type="spellEnd"/>
      <w:r>
        <w:rPr>
          <w:rStyle w:val="None"/>
        </w:rPr>
        <w:t xml:space="preserve"> (scanned copy via Portal AND original by post).</w:t>
      </w:r>
    </w:p>
    <w:p w14:paraId="24360C11" w14:textId="77777777" w:rsidR="00855A5C" w:rsidRDefault="00F833A3">
      <w:pPr>
        <w:pStyle w:val="Text2"/>
        <w:ind w:left="0"/>
      </w:pPr>
      <w:r>
        <w:rPr>
          <w:rStyle w:val="None"/>
        </w:rPr>
        <w:t>If agreed with us, the bank guarantee may be replaced by a guarantee from a third party.</w:t>
      </w:r>
    </w:p>
    <w:p w14:paraId="7CD96163" w14:textId="4A7D1EF5" w:rsidR="00855A5C" w:rsidRDefault="00F833A3">
      <w:pPr>
        <w:pStyle w:val="Text2"/>
        <w:ind w:left="0"/>
      </w:pPr>
      <w:r>
        <w:rPr>
          <w:rStyle w:val="None"/>
        </w:rPr>
        <w:t>The guarantee will be released at the end of the grant, in accordance with the conditions laid down in the Grant Agreement.</w:t>
      </w:r>
    </w:p>
    <w:p w14:paraId="3A7A14F7" w14:textId="77777777" w:rsidR="00855A5C" w:rsidRDefault="00F833A3">
      <w:pPr>
        <w:pStyle w:val="Heading3"/>
      </w:pPr>
      <w:proofErr w:type="spellStart"/>
      <w:r>
        <w:rPr>
          <w:rStyle w:val="None"/>
          <w:rFonts w:eastAsia="Arial Unicode MS" w:cs="Arial Unicode MS"/>
          <w:lang w:val="it-IT"/>
        </w:rPr>
        <w:t>Certificates</w:t>
      </w:r>
      <w:proofErr w:type="spellEnd"/>
    </w:p>
    <w:p w14:paraId="78832743" w14:textId="77777777" w:rsidR="00855A5C" w:rsidRDefault="00F833A3">
      <w:pPr>
        <w:pStyle w:val="Body"/>
        <w:spacing w:after="120"/>
        <w:rPr>
          <w:rStyle w:val="None"/>
          <w:shd w:val="clear" w:color="auto" w:fill="FFFF00"/>
        </w:rPr>
      </w:pPr>
      <w:r>
        <w:rPr>
          <w:rStyle w:val="None"/>
        </w:rPr>
        <w:t>Depending on the type of action, size of grant amount and type of beneficiaries, you may be requested to submit different certificates. The types, schedules and thresholds for each certificate are fixed in the Grant Agreement</w:t>
      </w:r>
      <w:r>
        <w:rPr>
          <w:rStyle w:val="None"/>
          <w:i/>
          <w:iCs/>
        </w:rPr>
        <w:t xml:space="preserve"> (Data Sheet, point 4 and art 24)</w:t>
      </w:r>
      <w:r>
        <w:rPr>
          <w:rStyle w:val="None"/>
        </w:rPr>
        <w:t>.</w:t>
      </w:r>
    </w:p>
    <w:p w14:paraId="5A8625E1" w14:textId="77777777" w:rsidR="00855A5C" w:rsidRDefault="00F833A3">
      <w:pPr>
        <w:pStyle w:val="Heading3"/>
      </w:pPr>
      <w:r>
        <w:rPr>
          <w:rStyle w:val="None"/>
          <w:rFonts w:eastAsia="Arial Unicode MS" w:cs="Arial Unicode MS"/>
          <w:lang w:val="en-US"/>
        </w:rPr>
        <w:t>Liability regime for recoveries</w:t>
      </w:r>
    </w:p>
    <w:p w14:paraId="67682258" w14:textId="77777777" w:rsidR="00855A5C" w:rsidRDefault="00F833A3">
      <w:pPr>
        <w:pStyle w:val="Body"/>
        <w:widowControl w:val="0"/>
        <w:spacing w:after="120"/>
        <w:rPr>
          <w:rStyle w:val="None"/>
          <w:i/>
          <w:iCs/>
        </w:rPr>
      </w:pPr>
      <w:r>
        <w:rPr>
          <w:rStyle w:val="None"/>
        </w:rPr>
        <w:t xml:space="preserve">The liability regime for recoveries will be fixed in the Grant Agreement </w:t>
      </w:r>
      <w:r>
        <w:rPr>
          <w:rStyle w:val="None"/>
          <w:i/>
          <w:iCs/>
        </w:rPr>
        <w:t>(Data Sheet point 4.4 and art 22).</w:t>
      </w:r>
    </w:p>
    <w:p w14:paraId="20FA829B" w14:textId="77777777" w:rsidR="00855A5C" w:rsidRDefault="00F833A3">
      <w:pPr>
        <w:pStyle w:val="Body"/>
        <w:widowControl w:val="0"/>
        <w:spacing w:after="120"/>
      </w:pPr>
      <w:r>
        <w:rPr>
          <w:rStyle w:val="None"/>
        </w:rPr>
        <w:t>For beneficiaries, it is one of the following:</w:t>
      </w:r>
    </w:p>
    <w:p w14:paraId="457138B8" w14:textId="77777777" w:rsidR="00855A5C" w:rsidRDefault="00F833A3">
      <w:pPr>
        <w:pStyle w:val="Body"/>
        <w:widowControl w:val="0"/>
        <w:numPr>
          <w:ilvl w:val="0"/>
          <w:numId w:val="31"/>
        </w:numPr>
        <w:spacing w:after="120"/>
        <w:jc w:val="left"/>
      </w:pPr>
      <w:r>
        <w:rPr>
          <w:rStyle w:val="None"/>
        </w:rPr>
        <w:t xml:space="preserve">limited joint and several liability with individual ceilings — </w:t>
      </w:r>
      <w:r>
        <w:rPr>
          <w:rStyle w:val="None"/>
          <w:i/>
          <w:iCs/>
        </w:rPr>
        <w:t xml:space="preserve">each beneficiary up </w:t>
      </w:r>
      <w:r>
        <w:rPr>
          <w:rStyle w:val="None"/>
        </w:rPr>
        <w:t>to their maximum grant amount</w:t>
      </w:r>
    </w:p>
    <w:p w14:paraId="2399BE77" w14:textId="77777777" w:rsidR="00855A5C" w:rsidRDefault="00F833A3">
      <w:pPr>
        <w:pStyle w:val="Body"/>
        <w:widowControl w:val="0"/>
        <w:numPr>
          <w:ilvl w:val="0"/>
          <w:numId w:val="31"/>
        </w:numPr>
        <w:spacing w:after="120"/>
        <w:jc w:val="left"/>
      </w:pPr>
      <w:r>
        <w:rPr>
          <w:rStyle w:val="None"/>
        </w:rPr>
        <w:t xml:space="preserve">unconditional joint and several liability — </w:t>
      </w:r>
      <w:r>
        <w:rPr>
          <w:rStyle w:val="None"/>
          <w:i/>
          <w:iCs/>
        </w:rPr>
        <w:t>each beneficiary up to the maximum grant amount for the action</w:t>
      </w:r>
      <w:r>
        <w:rPr>
          <w:rStyle w:val="None"/>
        </w:rPr>
        <w:t xml:space="preserve"> </w:t>
      </w:r>
    </w:p>
    <w:p w14:paraId="5C2CA9FB" w14:textId="77777777" w:rsidR="00855A5C" w:rsidRDefault="00F833A3">
      <w:pPr>
        <w:pStyle w:val="Body"/>
        <w:widowControl w:val="0"/>
        <w:spacing w:after="120"/>
        <w:ind w:left="435"/>
        <w:rPr>
          <w:rStyle w:val="None"/>
        </w:rPr>
      </w:pPr>
      <w:proofErr w:type="gramStart"/>
      <w:r>
        <w:rPr>
          <w:rStyle w:val="None"/>
        </w:rPr>
        <w:t>or</w:t>
      </w:r>
      <w:proofErr w:type="gramEnd"/>
    </w:p>
    <w:p w14:paraId="3881D85A" w14:textId="77777777" w:rsidR="00855A5C" w:rsidRDefault="00F833A3">
      <w:pPr>
        <w:pStyle w:val="Body"/>
        <w:widowControl w:val="0"/>
        <w:numPr>
          <w:ilvl w:val="0"/>
          <w:numId w:val="31"/>
        </w:numPr>
        <w:spacing w:after="120"/>
        <w:jc w:val="left"/>
      </w:pPr>
      <w:proofErr w:type="gramStart"/>
      <w:r>
        <w:rPr>
          <w:rStyle w:val="None"/>
        </w:rPr>
        <w:t>individual</w:t>
      </w:r>
      <w:proofErr w:type="gramEnd"/>
      <w:r>
        <w:rPr>
          <w:rStyle w:val="None"/>
        </w:rPr>
        <w:t xml:space="preserve"> financial responsibility — </w:t>
      </w:r>
      <w:r>
        <w:rPr>
          <w:rStyle w:val="None"/>
          <w:i/>
          <w:iCs/>
        </w:rPr>
        <w:t>each beneficiary only for their own debts</w:t>
      </w:r>
      <w:r>
        <w:rPr>
          <w:rStyle w:val="None"/>
        </w:rPr>
        <w:t xml:space="preserve">. </w:t>
      </w:r>
    </w:p>
    <w:p w14:paraId="6855CA30" w14:textId="77777777" w:rsidR="00855A5C" w:rsidRDefault="00F833A3">
      <w:pPr>
        <w:pStyle w:val="Body"/>
        <w:widowControl w:val="0"/>
        <w:rPr>
          <w:rStyle w:val="None"/>
        </w:rPr>
      </w:pPr>
      <w:r>
        <w:rPr>
          <w:rStyle w:val="None"/>
        </w:rPr>
        <w:t>In addition, the granting authority may require joint and several liability of affiliated entities (with their beneficiary).</w:t>
      </w:r>
    </w:p>
    <w:p w14:paraId="3E3A76F1" w14:textId="77777777" w:rsidR="00855A5C" w:rsidRDefault="00F833A3">
      <w:pPr>
        <w:pStyle w:val="Heading3"/>
      </w:pPr>
      <w:r>
        <w:rPr>
          <w:rStyle w:val="None"/>
          <w:rFonts w:eastAsia="Arial Unicode MS" w:cs="Arial Unicode MS"/>
          <w:lang w:val="en-US"/>
        </w:rPr>
        <w:t>Provisions concerning the project implementation</w:t>
      </w:r>
    </w:p>
    <w:p w14:paraId="63F1DDC8" w14:textId="77777777" w:rsidR="00855A5C" w:rsidRDefault="00F833A3">
      <w:pPr>
        <w:pStyle w:val="Body"/>
        <w:widowControl w:val="0"/>
        <w:rPr>
          <w:rStyle w:val="None"/>
          <w:shd w:val="clear" w:color="auto" w:fill="FFFF00"/>
        </w:rPr>
      </w:pPr>
      <w:r>
        <w:rPr>
          <w:rStyle w:val="None"/>
        </w:rPr>
        <w:t xml:space="preserve">Security rules: </w:t>
      </w:r>
      <w:r>
        <w:rPr>
          <w:rStyle w:val="None"/>
          <w:i/>
          <w:iCs/>
        </w:rPr>
        <w:t>see Model Grant Agreement (art 13 and Annex 5)</w:t>
      </w:r>
    </w:p>
    <w:p w14:paraId="50D62084" w14:textId="77777777" w:rsidR="00855A5C" w:rsidRDefault="00F833A3">
      <w:pPr>
        <w:pStyle w:val="Body"/>
        <w:widowControl w:val="0"/>
        <w:rPr>
          <w:rStyle w:val="None"/>
          <w:i/>
          <w:iCs/>
        </w:rPr>
      </w:pPr>
      <w:r>
        <w:rPr>
          <w:rStyle w:val="None"/>
        </w:rPr>
        <w:t xml:space="preserve">IPR rules: </w:t>
      </w:r>
      <w:r>
        <w:rPr>
          <w:rStyle w:val="None"/>
          <w:i/>
          <w:iCs/>
        </w:rPr>
        <w:t>see Model Grant Agreement (art 16 and Annex 5):</w:t>
      </w:r>
    </w:p>
    <w:p w14:paraId="41AA4025" w14:textId="77777777" w:rsidR="00855A5C" w:rsidRDefault="00F833A3">
      <w:pPr>
        <w:pStyle w:val="Body"/>
        <w:widowControl w:val="0"/>
        <w:numPr>
          <w:ilvl w:val="0"/>
          <w:numId w:val="31"/>
        </w:numPr>
        <w:jc w:val="left"/>
      </w:pPr>
      <w:r>
        <w:rPr>
          <w:rStyle w:val="None"/>
        </w:rPr>
        <w:lastRenderedPageBreak/>
        <w:t>rights of use on results: Yes</w:t>
      </w:r>
    </w:p>
    <w:p w14:paraId="3B6B9D44" w14:textId="77777777" w:rsidR="00855A5C" w:rsidRDefault="00F833A3">
      <w:pPr>
        <w:pStyle w:val="Body"/>
        <w:widowControl w:val="0"/>
        <w:numPr>
          <w:ilvl w:val="0"/>
          <w:numId w:val="33"/>
        </w:numPr>
        <w:jc w:val="left"/>
      </w:pPr>
      <w:r>
        <w:rPr>
          <w:rStyle w:val="None"/>
        </w:rPr>
        <w:t>access to results for policy purposes:</w:t>
      </w:r>
      <w:r>
        <w:rPr>
          <w:rStyle w:val="None"/>
          <w:color w:val="FF0000"/>
          <w:u w:color="FF0000"/>
        </w:rPr>
        <w:t xml:space="preserve"> </w:t>
      </w:r>
      <w:r>
        <w:rPr>
          <w:rStyle w:val="None"/>
        </w:rPr>
        <w:t>Yes</w:t>
      </w:r>
    </w:p>
    <w:p w14:paraId="2A7CFAAB" w14:textId="77777777" w:rsidR="00855A5C" w:rsidRDefault="00F833A3">
      <w:pPr>
        <w:pStyle w:val="Body"/>
        <w:widowControl w:val="0"/>
        <w:rPr>
          <w:rStyle w:val="None"/>
          <w:i/>
          <w:iCs/>
        </w:rPr>
      </w:pPr>
      <w:r>
        <w:rPr>
          <w:rStyle w:val="None"/>
        </w:rPr>
        <w:t xml:space="preserve">Communication, dissemination and visibility of funding: </w:t>
      </w:r>
      <w:r>
        <w:rPr>
          <w:rStyle w:val="None"/>
          <w:i/>
          <w:iCs/>
        </w:rPr>
        <w:t>see Model Grant Agreement (art 17 and Annex 5):</w:t>
      </w:r>
    </w:p>
    <w:p w14:paraId="17A9381B" w14:textId="77777777" w:rsidR="00855A5C" w:rsidRDefault="00F833A3">
      <w:pPr>
        <w:pStyle w:val="Body"/>
        <w:widowControl w:val="0"/>
        <w:numPr>
          <w:ilvl w:val="0"/>
          <w:numId w:val="31"/>
        </w:numPr>
        <w:jc w:val="left"/>
        <w:rPr>
          <w:i/>
          <w:iCs/>
        </w:rPr>
      </w:pPr>
      <w:r>
        <w:rPr>
          <w:rStyle w:val="None"/>
        </w:rPr>
        <w:t>communication and dissemination plan:</w:t>
      </w:r>
      <w:r>
        <w:rPr>
          <w:rStyle w:val="None"/>
          <w:i/>
          <w:iCs/>
        </w:rPr>
        <w:t xml:space="preserve"> Y</w:t>
      </w:r>
      <w:r>
        <w:rPr>
          <w:rStyle w:val="None"/>
        </w:rPr>
        <w:t>es</w:t>
      </w:r>
    </w:p>
    <w:p w14:paraId="51DA304F" w14:textId="77777777" w:rsidR="00855A5C" w:rsidRDefault="00F833A3">
      <w:pPr>
        <w:pStyle w:val="Body"/>
        <w:widowControl w:val="0"/>
        <w:numPr>
          <w:ilvl w:val="0"/>
          <w:numId w:val="34"/>
        </w:numPr>
        <w:jc w:val="left"/>
        <w:rPr>
          <w:i/>
          <w:iCs/>
        </w:rPr>
      </w:pPr>
      <w:r>
        <w:rPr>
          <w:rStyle w:val="None"/>
        </w:rPr>
        <w:t>additional communication and dissemination activities: Yes</w:t>
      </w:r>
    </w:p>
    <w:p w14:paraId="3A7C31FF" w14:textId="77777777" w:rsidR="00855A5C" w:rsidRDefault="00F833A3">
      <w:pPr>
        <w:pStyle w:val="Body"/>
        <w:widowControl w:val="0"/>
        <w:numPr>
          <w:ilvl w:val="0"/>
          <w:numId w:val="34"/>
        </w:numPr>
        <w:jc w:val="left"/>
        <w:rPr>
          <w:i/>
          <w:iCs/>
          <w:lang w:val="pt-PT"/>
        </w:rPr>
      </w:pPr>
      <w:proofErr w:type="spellStart"/>
      <w:r>
        <w:rPr>
          <w:rStyle w:val="None"/>
          <w:lang w:val="pt-PT"/>
        </w:rPr>
        <w:t>special</w:t>
      </w:r>
      <w:proofErr w:type="spellEnd"/>
      <w:r>
        <w:rPr>
          <w:rStyle w:val="None"/>
          <w:lang w:val="pt-PT"/>
        </w:rPr>
        <w:t xml:space="preserve"> logos</w:t>
      </w:r>
      <w:proofErr w:type="gramStart"/>
      <w:r>
        <w:rPr>
          <w:rStyle w:val="None"/>
          <w:lang w:val="pt-PT"/>
        </w:rPr>
        <w:t>: No</w:t>
      </w:r>
      <w:proofErr w:type="gramEnd"/>
    </w:p>
    <w:p w14:paraId="4996E1AC" w14:textId="77777777" w:rsidR="00855A5C" w:rsidRDefault="00F833A3">
      <w:pPr>
        <w:pStyle w:val="Heading3"/>
      </w:pPr>
      <w:r>
        <w:rPr>
          <w:rStyle w:val="None"/>
          <w:rFonts w:eastAsia="Arial Unicode MS" w:cs="Arial Unicode MS"/>
          <w:lang w:val="en-US"/>
        </w:rPr>
        <w:t xml:space="preserve">Other specificities </w:t>
      </w:r>
    </w:p>
    <w:p w14:paraId="3C5C5BC0" w14:textId="77777777" w:rsidR="00855A5C" w:rsidRDefault="00F833A3">
      <w:pPr>
        <w:pStyle w:val="Body"/>
        <w:widowControl w:val="0"/>
        <w:rPr>
          <w:rStyle w:val="None"/>
        </w:rPr>
      </w:pPr>
      <w:r>
        <w:rPr>
          <w:rStyle w:val="None"/>
        </w:rPr>
        <w:t>n/a</w:t>
      </w:r>
    </w:p>
    <w:p w14:paraId="3E38AD8A" w14:textId="77777777" w:rsidR="00855A5C" w:rsidRDefault="00F833A3">
      <w:pPr>
        <w:pStyle w:val="Heading3"/>
      </w:pPr>
      <w:r>
        <w:rPr>
          <w:rStyle w:val="None"/>
          <w:rFonts w:eastAsia="Arial Unicode MS" w:cs="Arial Unicode MS"/>
          <w:lang w:val="en-US"/>
        </w:rPr>
        <w:t>Non-compliance and breach of contract</w:t>
      </w:r>
    </w:p>
    <w:p w14:paraId="1F666A57" w14:textId="77777777" w:rsidR="00855A5C" w:rsidRDefault="00F833A3">
      <w:pPr>
        <w:pStyle w:val="Body"/>
        <w:widowControl w:val="0"/>
        <w:rPr>
          <w:rStyle w:val="None"/>
        </w:rPr>
      </w:pPr>
      <w:r>
        <w:rPr>
          <w:rStyle w:val="None"/>
        </w:rPr>
        <w:t>The Grant Agreement (chapter 5) provides for the measures we may take in case of breach of contract (and other non-compliance issues).</w:t>
      </w:r>
    </w:p>
    <w:p w14:paraId="370A51F7" w14:textId="77777777" w:rsidR="00855A5C" w:rsidRDefault="00F833A3">
      <w:pPr>
        <w:pStyle w:val="Heading"/>
      </w:pPr>
      <w:bookmarkStart w:id="12" w:name="_Toc110874548"/>
      <w:r>
        <w:rPr>
          <w:rStyle w:val="None"/>
          <w:rFonts w:eastAsia="Arial Unicode MS" w:cs="Arial Unicode MS"/>
          <w:lang w:val="en-US"/>
        </w:rPr>
        <w:t>11. How to submit an application</w:t>
      </w:r>
      <w:bookmarkEnd w:id="12"/>
    </w:p>
    <w:p w14:paraId="21F739B6" w14:textId="35C53F38" w:rsidR="00855A5C" w:rsidRDefault="00F833A3">
      <w:pPr>
        <w:pStyle w:val="Text1"/>
        <w:spacing w:after="120"/>
        <w:ind w:left="0"/>
        <w:rPr>
          <w:rStyle w:val="None"/>
          <w:rFonts w:ascii="Calibri" w:eastAsia="Calibri" w:hAnsi="Calibri" w:cs="Calibri"/>
          <w:i/>
          <w:iCs/>
          <w:color w:val="0070C0"/>
          <w:sz w:val="24"/>
          <w:szCs w:val="24"/>
          <w:u w:color="0070C0"/>
        </w:rPr>
      </w:pPr>
      <w:r>
        <w:rPr>
          <w:rStyle w:val="None"/>
          <w:rFonts w:ascii="Calibri" w:hAnsi="Calibri"/>
          <w:sz w:val="24"/>
          <w:szCs w:val="24"/>
        </w:rPr>
        <w:t xml:space="preserve">Applications must be submitted in the correct form, duly completed and dated. They must be submitted in three paper copies (one original clearly identified as such, plus two copies), and must be signed by the person </w:t>
      </w:r>
      <w:proofErr w:type="spellStart"/>
      <w:r>
        <w:rPr>
          <w:rStyle w:val="None"/>
          <w:rFonts w:ascii="Calibri" w:hAnsi="Calibri"/>
          <w:sz w:val="24"/>
          <w:szCs w:val="24"/>
        </w:rPr>
        <w:t>authorised</w:t>
      </w:r>
      <w:proofErr w:type="spellEnd"/>
      <w:r>
        <w:rPr>
          <w:rStyle w:val="None"/>
          <w:rFonts w:ascii="Calibri" w:hAnsi="Calibri"/>
          <w:sz w:val="24"/>
          <w:szCs w:val="24"/>
        </w:rPr>
        <w:t xml:space="preserve"> to enter into legally binding commitments on behalf of the </w:t>
      </w:r>
      <w:r w:rsidR="00BA134B">
        <w:rPr>
          <w:rStyle w:val="None"/>
          <w:rFonts w:ascii="Calibri" w:hAnsi="Calibri"/>
          <w:sz w:val="24"/>
          <w:szCs w:val="24"/>
        </w:rPr>
        <w:t xml:space="preserve">coordinating </w:t>
      </w:r>
      <w:r>
        <w:rPr>
          <w:rStyle w:val="None"/>
          <w:rFonts w:ascii="Calibri" w:hAnsi="Calibri"/>
          <w:sz w:val="24"/>
          <w:szCs w:val="24"/>
        </w:rPr>
        <w:t xml:space="preserve">applicant </w:t>
      </w:r>
      <w:proofErr w:type="spellStart"/>
      <w:r>
        <w:rPr>
          <w:rStyle w:val="None"/>
          <w:rFonts w:ascii="Calibri" w:hAnsi="Calibri"/>
          <w:sz w:val="24"/>
          <w:szCs w:val="24"/>
        </w:rPr>
        <w:t>organisation</w:t>
      </w:r>
      <w:proofErr w:type="spellEnd"/>
      <w:r>
        <w:rPr>
          <w:rStyle w:val="None"/>
          <w:rFonts w:ascii="Calibri" w:hAnsi="Calibri"/>
          <w:sz w:val="24"/>
          <w:szCs w:val="24"/>
        </w:rPr>
        <w:t>.</w:t>
      </w:r>
    </w:p>
    <w:p w14:paraId="246DD1D0" w14:textId="77777777" w:rsidR="00855A5C" w:rsidRDefault="00F833A3">
      <w:pPr>
        <w:pStyle w:val="Text1"/>
        <w:spacing w:after="120"/>
        <w:ind w:left="0"/>
        <w:rPr>
          <w:rStyle w:val="None"/>
          <w:rFonts w:ascii="Calibri" w:eastAsia="Calibri" w:hAnsi="Calibri" w:cs="Calibri"/>
          <w:sz w:val="24"/>
          <w:szCs w:val="24"/>
        </w:rPr>
      </w:pPr>
      <w:r>
        <w:rPr>
          <w:rStyle w:val="None"/>
          <w:rFonts w:ascii="Calibri" w:hAnsi="Calibri"/>
          <w:sz w:val="24"/>
          <w:szCs w:val="24"/>
        </w:rPr>
        <w:t>All additional information considered necessary by the applicant can be included on separate sheets.</w:t>
      </w:r>
    </w:p>
    <w:p w14:paraId="2416D21C" w14:textId="77777777" w:rsidR="00855A5C" w:rsidRDefault="00F833A3">
      <w:pPr>
        <w:pStyle w:val="BodyA"/>
        <w:spacing w:after="120"/>
        <w:rPr>
          <w:rStyle w:val="None"/>
          <w:rFonts w:ascii="Calibri" w:eastAsia="Calibri" w:hAnsi="Calibri" w:cs="Calibri"/>
          <w:sz w:val="24"/>
          <w:szCs w:val="24"/>
          <w:lang w:val="en-US"/>
        </w:rPr>
      </w:pPr>
      <w:r>
        <w:rPr>
          <w:rStyle w:val="None"/>
          <w:rFonts w:ascii="Calibri" w:hAnsi="Calibri"/>
          <w:sz w:val="24"/>
          <w:szCs w:val="24"/>
          <w:lang w:val="en-US"/>
        </w:rPr>
        <w:t>Applications must be sent to the following address:</w:t>
      </w:r>
    </w:p>
    <w:p w14:paraId="1A8742D5" w14:textId="3D1971D3" w:rsidR="00855A5C" w:rsidRDefault="00F833A3" w:rsidP="007C020C">
      <w:pPr>
        <w:pStyle w:val="Text1"/>
        <w:spacing w:after="120"/>
        <w:ind w:left="0"/>
        <w:jc w:val="left"/>
        <w:rPr>
          <w:rStyle w:val="None"/>
          <w:rFonts w:ascii="Calibri" w:eastAsia="Calibri" w:hAnsi="Calibri" w:cs="Calibri"/>
          <w:sz w:val="24"/>
          <w:szCs w:val="24"/>
        </w:rPr>
      </w:pPr>
      <w:r>
        <w:rPr>
          <w:rStyle w:val="None"/>
          <w:rFonts w:ascii="Calibri" w:hAnsi="Calibri"/>
          <w:sz w:val="24"/>
          <w:szCs w:val="24"/>
        </w:rPr>
        <w:t xml:space="preserve">By registered mail, to the following address: </w:t>
      </w:r>
      <w:r>
        <w:rPr>
          <w:rStyle w:val="None"/>
          <w:rFonts w:ascii="Calibri" w:hAnsi="Calibri"/>
          <w:sz w:val="24"/>
          <w:szCs w:val="24"/>
        </w:rPr>
        <w:br/>
      </w:r>
    </w:p>
    <w:p w14:paraId="143076CF" w14:textId="77777777" w:rsidR="007C020C" w:rsidRDefault="007C020C" w:rsidP="007C020C">
      <w:pPr>
        <w:pStyle w:val="Text1"/>
        <w:spacing w:after="120"/>
        <w:ind w:left="0"/>
        <w:jc w:val="left"/>
        <w:rPr>
          <w:rStyle w:val="None"/>
          <w:rFonts w:ascii="Calibri" w:eastAsia="Calibri" w:hAnsi="Calibri" w:cs="Calibri"/>
          <w:sz w:val="24"/>
          <w:szCs w:val="24"/>
        </w:rPr>
      </w:pPr>
    </w:p>
    <w:p w14:paraId="521BA3DE" w14:textId="77777777" w:rsidR="00855A5C" w:rsidRDefault="00F833A3">
      <w:pPr>
        <w:pStyle w:val="Text1"/>
        <w:spacing w:after="0"/>
        <w:ind w:left="0"/>
        <w:rPr>
          <w:rStyle w:val="None"/>
          <w:rFonts w:ascii="Calibri" w:eastAsia="Calibri" w:hAnsi="Calibri" w:cs="Calibri"/>
          <w:b/>
          <w:bCs/>
          <w:sz w:val="24"/>
          <w:szCs w:val="24"/>
        </w:rPr>
      </w:pPr>
      <w:r>
        <w:rPr>
          <w:rStyle w:val="None"/>
          <w:rFonts w:ascii="Calibri" w:hAnsi="Calibri"/>
          <w:b/>
          <w:bCs/>
          <w:sz w:val="24"/>
          <w:szCs w:val="24"/>
        </w:rPr>
        <w:t xml:space="preserve">European Commission </w:t>
      </w:r>
    </w:p>
    <w:p w14:paraId="096A6839" w14:textId="77777777" w:rsidR="00855A5C" w:rsidRDefault="00F833A3">
      <w:pPr>
        <w:pStyle w:val="Text1"/>
        <w:spacing w:after="0"/>
        <w:ind w:left="0"/>
        <w:rPr>
          <w:rStyle w:val="None"/>
          <w:rFonts w:ascii="Calibri" w:eastAsia="Calibri" w:hAnsi="Calibri" w:cs="Calibri"/>
          <w:b/>
          <w:bCs/>
          <w:sz w:val="24"/>
          <w:szCs w:val="24"/>
        </w:rPr>
      </w:pPr>
      <w:r>
        <w:rPr>
          <w:rStyle w:val="None"/>
          <w:rFonts w:ascii="Calibri" w:hAnsi="Calibri"/>
          <w:b/>
          <w:bCs/>
          <w:sz w:val="24"/>
          <w:szCs w:val="24"/>
        </w:rPr>
        <w:t xml:space="preserve">Directorate-General for Mobility and Transport </w:t>
      </w:r>
    </w:p>
    <w:p w14:paraId="522D0DC0" w14:textId="77777777" w:rsidR="00855A5C" w:rsidRDefault="00F833A3">
      <w:pPr>
        <w:pStyle w:val="Text1"/>
        <w:spacing w:after="0"/>
        <w:ind w:left="0"/>
        <w:rPr>
          <w:rStyle w:val="None"/>
          <w:rFonts w:ascii="Calibri" w:eastAsia="Calibri" w:hAnsi="Calibri" w:cs="Calibri"/>
          <w:b/>
          <w:bCs/>
          <w:sz w:val="24"/>
          <w:szCs w:val="24"/>
          <w:lang w:val="de-DE"/>
        </w:rPr>
      </w:pPr>
      <w:r>
        <w:rPr>
          <w:rStyle w:val="None"/>
          <w:rFonts w:ascii="Calibri" w:hAnsi="Calibri"/>
          <w:b/>
          <w:bCs/>
          <w:sz w:val="24"/>
          <w:szCs w:val="24"/>
          <w:lang w:val="de-DE"/>
        </w:rPr>
        <w:t xml:space="preserve">DM 28 - 0/110 - Mail/Archives </w:t>
      </w:r>
    </w:p>
    <w:p w14:paraId="25755DB0" w14:textId="77777777" w:rsidR="00855A5C" w:rsidRDefault="00F833A3">
      <w:pPr>
        <w:pStyle w:val="Text1"/>
        <w:spacing w:after="0"/>
        <w:ind w:left="0"/>
        <w:rPr>
          <w:rStyle w:val="None"/>
          <w:rFonts w:ascii="Calibri" w:eastAsia="Calibri" w:hAnsi="Calibri" w:cs="Calibri"/>
          <w:b/>
          <w:bCs/>
          <w:sz w:val="24"/>
          <w:szCs w:val="24"/>
          <w:lang w:val="de-DE"/>
        </w:rPr>
      </w:pPr>
      <w:r>
        <w:rPr>
          <w:rStyle w:val="None"/>
          <w:rFonts w:ascii="Calibri" w:hAnsi="Calibri"/>
          <w:b/>
          <w:bCs/>
          <w:sz w:val="24"/>
          <w:szCs w:val="24"/>
          <w:lang w:val="de-DE"/>
        </w:rPr>
        <w:t xml:space="preserve">B-1049 </w:t>
      </w:r>
      <w:proofErr w:type="spellStart"/>
      <w:r>
        <w:rPr>
          <w:rStyle w:val="None"/>
          <w:rFonts w:ascii="Calibri" w:hAnsi="Calibri"/>
          <w:b/>
          <w:bCs/>
          <w:sz w:val="24"/>
          <w:szCs w:val="24"/>
          <w:lang w:val="de-DE"/>
        </w:rPr>
        <w:t>Brussels</w:t>
      </w:r>
      <w:proofErr w:type="spellEnd"/>
      <w:r>
        <w:rPr>
          <w:rStyle w:val="None"/>
          <w:rFonts w:ascii="Calibri" w:hAnsi="Calibri"/>
          <w:b/>
          <w:bCs/>
          <w:sz w:val="24"/>
          <w:szCs w:val="24"/>
          <w:lang w:val="de-DE"/>
        </w:rPr>
        <w:t xml:space="preserve"> </w:t>
      </w:r>
    </w:p>
    <w:p w14:paraId="2297E1BC" w14:textId="77777777" w:rsidR="00855A5C" w:rsidRDefault="00F833A3">
      <w:pPr>
        <w:pStyle w:val="Text1"/>
        <w:spacing w:after="0"/>
        <w:ind w:left="0"/>
        <w:rPr>
          <w:rStyle w:val="None"/>
          <w:rFonts w:ascii="Calibri" w:eastAsia="Calibri" w:hAnsi="Calibri" w:cs="Calibri"/>
          <w:b/>
          <w:bCs/>
          <w:sz w:val="24"/>
          <w:szCs w:val="24"/>
          <w:lang w:val="de-DE"/>
        </w:rPr>
      </w:pPr>
      <w:proofErr w:type="spellStart"/>
      <w:r>
        <w:rPr>
          <w:rStyle w:val="None"/>
          <w:rFonts w:ascii="Calibri" w:hAnsi="Calibri"/>
          <w:b/>
          <w:bCs/>
          <w:sz w:val="24"/>
          <w:szCs w:val="24"/>
          <w:lang w:val="de-DE"/>
        </w:rPr>
        <w:t>Belgium</w:t>
      </w:r>
      <w:proofErr w:type="spellEnd"/>
      <w:r>
        <w:rPr>
          <w:rStyle w:val="None"/>
          <w:rFonts w:ascii="Calibri" w:hAnsi="Calibri"/>
          <w:b/>
          <w:bCs/>
          <w:sz w:val="24"/>
          <w:szCs w:val="24"/>
          <w:lang w:val="de-DE"/>
        </w:rPr>
        <w:t xml:space="preserve"> </w:t>
      </w:r>
    </w:p>
    <w:p w14:paraId="37BBB700" w14:textId="77777777" w:rsidR="00855A5C" w:rsidRDefault="00855A5C">
      <w:pPr>
        <w:pStyle w:val="Text1"/>
        <w:spacing w:after="120"/>
        <w:ind w:left="0"/>
        <w:rPr>
          <w:rStyle w:val="None"/>
          <w:lang w:val="de-DE"/>
        </w:rPr>
      </w:pPr>
    </w:p>
    <w:p w14:paraId="34DF9811" w14:textId="77777777" w:rsidR="00855A5C" w:rsidRDefault="00F833A3">
      <w:pPr>
        <w:pStyle w:val="Text1"/>
        <w:spacing w:after="120"/>
        <w:ind w:left="0"/>
        <w:rPr>
          <w:rStyle w:val="None"/>
          <w:rFonts w:ascii="Calibri" w:eastAsia="Calibri" w:hAnsi="Calibri" w:cs="Calibri"/>
          <w:sz w:val="24"/>
          <w:szCs w:val="24"/>
        </w:rPr>
      </w:pPr>
      <w:r>
        <w:rPr>
          <w:rStyle w:val="None"/>
          <w:rFonts w:ascii="Calibri" w:hAnsi="Calibri"/>
          <w:sz w:val="24"/>
          <w:szCs w:val="24"/>
        </w:rPr>
        <w:t xml:space="preserve">Or </w:t>
      </w:r>
    </w:p>
    <w:p w14:paraId="00D9A271" w14:textId="2394503C" w:rsidR="00855A5C" w:rsidRDefault="00F833A3">
      <w:pPr>
        <w:pStyle w:val="Text1"/>
        <w:spacing w:after="120"/>
        <w:ind w:left="0"/>
        <w:rPr>
          <w:rStyle w:val="None"/>
          <w:rFonts w:ascii="Calibri" w:eastAsia="Calibri" w:hAnsi="Calibri" w:cs="Calibri"/>
          <w:sz w:val="24"/>
          <w:szCs w:val="24"/>
        </w:rPr>
      </w:pPr>
      <w:proofErr w:type="gramStart"/>
      <w:r>
        <w:rPr>
          <w:rStyle w:val="None"/>
          <w:rFonts w:ascii="Calibri" w:hAnsi="Calibri"/>
          <w:sz w:val="24"/>
          <w:szCs w:val="24"/>
        </w:rPr>
        <w:t>by</w:t>
      </w:r>
      <w:proofErr w:type="gramEnd"/>
      <w:r>
        <w:rPr>
          <w:rStyle w:val="None"/>
          <w:rFonts w:ascii="Calibri" w:hAnsi="Calibri"/>
          <w:sz w:val="24"/>
          <w:szCs w:val="24"/>
        </w:rPr>
        <w:t xml:space="preserve"> hand-delivery, (evidence will be constituted by the acknowledgement of receipt), or by courier service (evidence will be constituted by the acknowledgement of receipt) to the following address:</w:t>
      </w:r>
    </w:p>
    <w:p w14:paraId="3839697F" w14:textId="77777777" w:rsidR="00855A5C" w:rsidRDefault="00F833A3">
      <w:pPr>
        <w:pStyle w:val="Text1"/>
        <w:spacing w:after="120"/>
        <w:ind w:left="0"/>
        <w:rPr>
          <w:rStyle w:val="None"/>
          <w:rFonts w:ascii="Calibri" w:eastAsia="Calibri" w:hAnsi="Calibri" w:cs="Calibri"/>
          <w:sz w:val="24"/>
          <w:szCs w:val="24"/>
        </w:rPr>
      </w:pPr>
      <w:r>
        <w:rPr>
          <w:rStyle w:val="None"/>
          <w:rFonts w:ascii="Calibri" w:hAnsi="Calibri"/>
          <w:sz w:val="24"/>
          <w:szCs w:val="24"/>
        </w:rPr>
        <w:t xml:space="preserve">European Commission </w:t>
      </w:r>
    </w:p>
    <w:p w14:paraId="0D90F991" w14:textId="77777777" w:rsidR="00855A5C" w:rsidRDefault="00F833A3">
      <w:pPr>
        <w:pStyle w:val="Text1"/>
        <w:spacing w:after="0"/>
        <w:ind w:left="0"/>
        <w:rPr>
          <w:rStyle w:val="None"/>
          <w:rFonts w:ascii="Calibri" w:eastAsia="Calibri" w:hAnsi="Calibri" w:cs="Calibri"/>
          <w:b/>
          <w:bCs/>
          <w:sz w:val="24"/>
          <w:szCs w:val="24"/>
        </w:rPr>
      </w:pPr>
      <w:r>
        <w:rPr>
          <w:rStyle w:val="None"/>
          <w:rFonts w:ascii="Calibri" w:hAnsi="Calibri"/>
          <w:b/>
          <w:bCs/>
          <w:sz w:val="24"/>
          <w:szCs w:val="24"/>
        </w:rPr>
        <w:t xml:space="preserve">European Commission </w:t>
      </w:r>
    </w:p>
    <w:p w14:paraId="0DC2F91C" w14:textId="77777777" w:rsidR="00855A5C" w:rsidRDefault="00F833A3">
      <w:pPr>
        <w:pStyle w:val="Text1"/>
        <w:spacing w:after="0"/>
        <w:ind w:left="0"/>
        <w:rPr>
          <w:rStyle w:val="None"/>
          <w:rFonts w:ascii="Calibri" w:eastAsia="Calibri" w:hAnsi="Calibri" w:cs="Calibri"/>
          <w:b/>
          <w:bCs/>
          <w:sz w:val="24"/>
          <w:szCs w:val="24"/>
        </w:rPr>
      </w:pPr>
      <w:r>
        <w:rPr>
          <w:rStyle w:val="None"/>
          <w:rFonts w:ascii="Calibri" w:hAnsi="Calibri"/>
          <w:b/>
          <w:bCs/>
          <w:sz w:val="24"/>
          <w:szCs w:val="24"/>
        </w:rPr>
        <w:t xml:space="preserve">Directorate-General for Mobility and Transport </w:t>
      </w:r>
    </w:p>
    <w:p w14:paraId="0BDB5AF3" w14:textId="77777777" w:rsidR="00855A5C" w:rsidRDefault="00F833A3">
      <w:pPr>
        <w:pStyle w:val="Text1"/>
        <w:spacing w:after="0"/>
        <w:ind w:left="0"/>
        <w:rPr>
          <w:rStyle w:val="None"/>
          <w:rFonts w:ascii="Calibri" w:eastAsia="Calibri" w:hAnsi="Calibri" w:cs="Calibri"/>
          <w:b/>
          <w:bCs/>
          <w:sz w:val="24"/>
          <w:szCs w:val="24"/>
          <w:lang w:val="de-DE"/>
        </w:rPr>
      </w:pPr>
      <w:r>
        <w:rPr>
          <w:rStyle w:val="None"/>
          <w:rFonts w:ascii="Calibri" w:hAnsi="Calibri"/>
          <w:b/>
          <w:bCs/>
          <w:sz w:val="24"/>
          <w:szCs w:val="24"/>
          <w:lang w:val="de-DE"/>
        </w:rPr>
        <w:t xml:space="preserve">DM 28 - 0/110 - Mail/Archives </w:t>
      </w:r>
    </w:p>
    <w:p w14:paraId="793CE375" w14:textId="77777777" w:rsidR="00855A5C" w:rsidRDefault="00F833A3">
      <w:pPr>
        <w:pStyle w:val="Text1"/>
        <w:spacing w:after="0"/>
        <w:ind w:left="0"/>
        <w:rPr>
          <w:rStyle w:val="None"/>
          <w:rFonts w:ascii="Calibri" w:eastAsia="Calibri" w:hAnsi="Calibri" w:cs="Calibri"/>
          <w:b/>
          <w:bCs/>
          <w:sz w:val="24"/>
          <w:szCs w:val="24"/>
          <w:lang w:val="de-DE"/>
        </w:rPr>
      </w:pPr>
      <w:r>
        <w:rPr>
          <w:rStyle w:val="None"/>
          <w:rFonts w:ascii="Calibri" w:hAnsi="Calibri"/>
          <w:b/>
          <w:bCs/>
          <w:sz w:val="24"/>
          <w:szCs w:val="24"/>
          <w:lang w:val="de-DE"/>
        </w:rPr>
        <w:t xml:space="preserve">B-1049 </w:t>
      </w:r>
      <w:proofErr w:type="spellStart"/>
      <w:r>
        <w:rPr>
          <w:rStyle w:val="None"/>
          <w:rFonts w:ascii="Calibri" w:hAnsi="Calibri"/>
          <w:b/>
          <w:bCs/>
          <w:sz w:val="24"/>
          <w:szCs w:val="24"/>
          <w:lang w:val="de-DE"/>
        </w:rPr>
        <w:t>Brussels</w:t>
      </w:r>
      <w:proofErr w:type="spellEnd"/>
      <w:r>
        <w:rPr>
          <w:rStyle w:val="None"/>
          <w:rFonts w:ascii="Calibri" w:hAnsi="Calibri"/>
          <w:b/>
          <w:bCs/>
          <w:sz w:val="24"/>
          <w:szCs w:val="24"/>
          <w:lang w:val="de-DE"/>
        </w:rPr>
        <w:t xml:space="preserve"> </w:t>
      </w:r>
    </w:p>
    <w:p w14:paraId="2FEEEEC6" w14:textId="77777777" w:rsidR="00855A5C" w:rsidRDefault="00F833A3">
      <w:pPr>
        <w:pStyle w:val="Text1"/>
        <w:spacing w:after="0"/>
        <w:ind w:left="0"/>
        <w:rPr>
          <w:rStyle w:val="None"/>
          <w:rFonts w:ascii="Calibri" w:eastAsia="Calibri" w:hAnsi="Calibri" w:cs="Calibri"/>
          <w:b/>
          <w:bCs/>
          <w:sz w:val="24"/>
          <w:szCs w:val="24"/>
          <w:lang w:val="de-DE"/>
        </w:rPr>
      </w:pPr>
      <w:proofErr w:type="spellStart"/>
      <w:r>
        <w:rPr>
          <w:rStyle w:val="None"/>
          <w:rFonts w:ascii="Calibri" w:hAnsi="Calibri"/>
          <w:b/>
          <w:bCs/>
          <w:sz w:val="24"/>
          <w:szCs w:val="24"/>
          <w:lang w:val="de-DE"/>
        </w:rPr>
        <w:lastRenderedPageBreak/>
        <w:t>Belgium</w:t>
      </w:r>
      <w:proofErr w:type="spellEnd"/>
      <w:r>
        <w:rPr>
          <w:rStyle w:val="None"/>
          <w:rFonts w:ascii="Calibri" w:hAnsi="Calibri"/>
          <w:b/>
          <w:bCs/>
          <w:sz w:val="24"/>
          <w:szCs w:val="24"/>
          <w:lang w:val="de-DE"/>
        </w:rPr>
        <w:t xml:space="preserve"> </w:t>
      </w:r>
    </w:p>
    <w:p w14:paraId="7C4AF1BA" w14:textId="77777777" w:rsidR="00855A5C" w:rsidRDefault="00855A5C">
      <w:pPr>
        <w:pStyle w:val="BodyA"/>
        <w:spacing w:after="0"/>
        <w:rPr>
          <w:rStyle w:val="None"/>
          <w:rFonts w:ascii="Calibri" w:eastAsia="Calibri" w:hAnsi="Calibri" w:cs="Calibri"/>
          <w:b/>
          <w:bCs/>
          <w:sz w:val="24"/>
          <w:szCs w:val="24"/>
          <w:lang w:val="de-DE"/>
        </w:rPr>
      </w:pPr>
    </w:p>
    <w:p w14:paraId="62285791" w14:textId="77777777" w:rsidR="00855A5C" w:rsidRDefault="00F833A3">
      <w:pPr>
        <w:pStyle w:val="BodyA"/>
        <w:spacing w:after="120"/>
        <w:rPr>
          <w:rStyle w:val="None"/>
          <w:rFonts w:ascii="Calibri" w:eastAsia="Calibri" w:hAnsi="Calibri" w:cs="Calibri"/>
          <w:sz w:val="24"/>
          <w:szCs w:val="24"/>
          <w:lang w:val="en-US"/>
        </w:rPr>
      </w:pPr>
      <w:r>
        <w:rPr>
          <w:rStyle w:val="None"/>
          <w:rFonts w:ascii="Calibri" w:hAnsi="Calibri"/>
          <w:sz w:val="24"/>
          <w:szCs w:val="24"/>
          <w:lang w:val="en-US"/>
        </w:rPr>
        <w:t>Applications sent by fax or e-mail will not be accepted.</w:t>
      </w:r>
    </w:p>
    <w:p w14:paraId="40B43E33" w14:textId="77777777" w:rsidR="00855A5C" w:rsidRDefault="00F833A3">
      <w:pPr>
        <w:pStyle w:val="Text1"/>
        <w:spacing w:after="120"/>
        <w:ind w:left="0"/>
        <w:rPr>
          <w:rStyle w:val="None"/>
          <w:rFonts w:ascii="Calibri" w:eastAsia="Calibri" w:hAnsi="Calibri" w:cs="Calibri"/>
          <w:sz w:val="24"/>
          <w:szCs w:val="24"/>
        </w:rPr>
      </w:pPr>
      <w:r>
        <w:rPr>
          <w:rStyle w:val="None"/>
          <w:rFonts w:ascii="Calibri" w:hAnsi="Calibri"/>
          <w:sz w:val="24"/>
          <w:szCs w:val="24"/>
        </w:rPr>
        <w:t xml:space="preserve">The proposal must be submitted before the call deadline in Section 5. After this deadline applications can no longer be submitted. </w:t>
      </w:r>
    </w:p>
    <w:p w14:paraId="5DC31347" w14:textId="77777777" w:rsidR="00855A5C" w:rsidRDefault="00F833A3">
      <w:pPr>
        <w:pStyle w:val="Text1"/>
        <w:spacing w:after="120"/>
        <w:ind w:left="0"/>
        <w:rPr>
          <w:rStyle w:val="None"/>
          <w:rFonts w:ascii="Calibri" w:eastAsia="Calibri" w:hAnsi="Calibri" w:cs="Calibri"/>
          <w:sz w:val="24"/>
          <w:szCs w:val="24"/>
        </w:rPr>
      </w:pPr>
      <w:r>
        <w:rPr>
          <w:rStyle w:val="None"/>
          <w:rFonts w:ascii="Calibri" w:hAnsi="Calibri"/>
          <w:sz w:val="24"/>
          <w:szCs w:val="24"/>
        </w:rPr>
        <w:t>Once you have submitted your application, you will receive a confirmation e-mail (with date and time of your application). If you do not receive this confirmation e-mail, it means your application has NOT been submitted.</w:t>
      </w:r>
    </w:p>
    <w:p w14:paraId="1FC76216" w14:textId="77777777" w:rsidR="00855A5C" w:rsidRDefault="00F833A3">
      <w:pPr>
        <w:pStyle w:val="Heading"/>
      </w:pPr>
      <w:bookmarkStart w:id="13" w:name="_Toc110874549"/>
      <w:r>
        <w:rPr>
          <w:rStyle w:val="None"/>
          <w:rFonts w:eastAsia="Arial Unicode MS" w:cs="Arial Unicode MS"/>
        </w:rPr>
        <w:t>12. Contact</w:t>
      </w:r>
      <w:bookmarkEnd w:id="13"/>
    </w:p>
    <w:p w14:paraId="3F0AB0EC" w14:textId="77777777" w:rsidR="00855A5C" w:rsidRDefault="00F833A3">
      <w:pPr>
        <w:pStyle w:val="Text1"/>
        <w:spacing w:after="120"/>
        <w:ind w:left="0"/>
        <w:rPr>
          <w:rStyle w:val="None"/>
        </w:rPr>
      </w:pPr>
      <w:r>
        <w:rPr>
          <w:rStyle w:val="None"/>
        </w:rPr>
        <w:t>Questions should be sent to the following email address:</w:t>
      </w:r>
      <w:r>
        <w:rPr>
          <w:rStyle w:val="None"/>
          <w:color w:val="FF0000"/>
          <w:u w:color="FF0000"/>
        </w:rPr>
        <w:t xml:space="preserve"> </w:t>
      </w:r>
      <w:hyperlink r:id="rId21" w:history="1">
        <w:r>
          <w:rPr>
            <w:rStyle w:val="Link"/>
          </w:rPr>
          <w:t>MOVE-TENDER-C2@ec.europa.eu</w:t>
        </w:r>
      </w:hyperlink>
      <w:r>
        <w:rPr>
          <w:rStyle w:val="None"/>
        </w:rPr>
        <w:t xml:space="preserve"> </w:t>
      </w:r>
    </w:p>
    <w:p w14:paraId="183219CA" w14:textId="77777777" w:rsidR="00855A5C" w:rsidRDefault="00F833A3">
      <w:pPr>
        <w:pStyle w:val="Text1"/>
        <w:ind w:left="0"/>
      </w:pPr>
      <w:r>
        <w:rPr>
          <w:rStyle w:val="None"/>
        </w:rPr>
        <w:t xml:space="preserve">Please indicate clearly the reference of the call and topic to which your question relates </w:t>
      </w:r>
      <w:r>
        <w:rPr>
          <w:rStyle w:val="None"/>
          <w:i/>
          <w:iCs/>
        </w:rPr>
        <w:t>(see cover page)</w:t>
      </w:r>
      <w:r>
        <w:rPr>
          <w:rStyle w:val="None"/>
        </w:rPr>
        <w:t>.</w:t>
      </w:r>
    </w:p>
    <w:p w14:paraId="55141BDF" w14:textId="77777777" w:rsidR="00855A5C" w:rsidRDefault="00F833A3">
      <w:pPr>
        <w:pStyle w:val="Heading"/>
      </w:pPr>
      <w:bookmarkStart w:id="14" w:name="_Toc110874550"/>
      <w:r>
        <w:rPr>
          <w:rStyle w:val="None"/>
          <w:rFonts w:eastAsia="Arial Unicode MS" w:cs="Arial Unicode MS"/>
        </w:rPr>
        <w:t>13. Important</w:t>
      </w:r>
      <w:bookmarkEnd w:id="14"/>
    </w:p>
    <w:p w14:paraId="7F7E0A68" w14:textId="77777777" w:rsidR="00855A5C" w:rsidRDefault="00F833A3">
      <w:pPr>
        <w:pStyle w:val="Text1"/>
        <w:spacing w:before="120" w:after="120"/>
        <w:ind w:left="0"/>
        <w:rPr>
          <w:rStyle w:val="None"/>
          <w:color w:val="595959"/>
          <w:sz w:val="16"/>
          <w:szCs w:val="16"/>
          <w:u w:color="595959"/>
        </w:rPr>
      </w:pPr>
      <w:r>
        <w:rPr>
          <w:rStyle w:val="None"/>
          <w:noProof/>
          <w:color w:val="7F7F7F"/>
          <w:sz w:val="18"/>
          <w:szCs w:val="18"/>
          <w:u w:color="7F7F7F"/>
          <w:lang w:val="fr-BE" w:eastAsia="fr-BE"/>
        </w:rPr>
        <w:drawing>
          <wp:inline distT="0" distB="0" distL="0" distR="0" wp14:anchorId="27EEF07B" wp14:editId="148C6292">
            <wp:extent cx="207010" cy="207010"/>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22"/>
                    <a:stretch>
                      <a:fillRect/>
                    </a:stretch>
                  </pic:blipFill>
                  <pic:spPr>
                    <a:xfrm>
                      <a:off x="0" y="0"/>
                      <a:ext cx="207010" cy="207010"/>
                    </a:xfrm>
                    <a:prstGeom prst="rect">
                      <a:avLst/>
                    </a:prstGeom>
                    <a:ln w="12700" cap="flat">
                      <a:noFill/>
                      <a:miter lim="400000"/>
                    </a:ln>
                    <a:effectLst/>
                  </pic:spPr>
                </pic:pic>
              </a:graphicData>
            </a:graphic>
          </wp:inline>
        </w:drawing>
      </w:r>
      <w:r>
        <w:rPr>
          <w:rStyle w:val="None"/>
          <w:sz w:val="18"/>
          <w:szCs w:val="18"/>
        </w:rPr>
        <w:t xml:space="preserve"> </w:t>
      </w:r>
      <w:r>
        <w:rPr>
          <w:rStyle w:val="None"/>
          <w:b/>
          <w:bCs/>
          <w:color w:val="595959"/>
          <w:sz w:val="18"/>
          <w:szCs w:val="18"/>
          <w:u w:color="595959"/>
        </w:rPr>
        <w:t xml:space="preserve">IMPORTANT </w:t>
      </w:r>
    </w:p>
    <w:p w14:paraId="2162342A" w14:textId="4D42183E" w:rsidR="00855A5C" w:rsidRDefault="00F833A3">
      <w:pPr>
        <w:pStyle w:val="Body"/>
        <w:numPr>
          <w:ilvl w:val="0"/>
          <w:numId w:val="36"/>
        </w:numPr>
        <w:spacing w:after="120"/>
        <w:ind w:right="79"/>
        <w:rPr>
          <w:color w:val="595959"/>
          <w:sz w:val="18"/>
          <w:szCs w:val="18"/>
        </w:rPr>
      </w:pPr>
      <w:r>
        <w:rPr>
          <w:rStyle w:val="None"/>
          <w:b/>
          <w:bCs/>
          <w:color w:val="595959"/>
          <w:sz w:val="18"/>
          <w:szCs w:val="18"/>
          <w:u w:color="595959"/>
        </w:rPr>
        <w:t>Don</w:t>
      </w:r>
      <w:r>
        <w:rPr>
          <w:rStyle w:val="None"/>
          <w:b/>
          <w:bCs/>
          <w:color w:val="595959"/>
          <w:sz w:val="18"/>
          <w:szCs w:val="18"/>
          <w:u w:color="595959"/>
          <w:rtl/>
        </w:rPr>
        <w:t>’</w:t>
      </w:r>
      <w:r>
        <w:rPr>
          <w:rStyle w:val="None"/>
          <w:b/>
          <w:bCs/>
          <w:color w:val="595959"/>
          <w:sz w:val="18"/>
          <w:szCs w:val="18"/>
          <w:u w:color="595959"/>
        </w:rPr>
        <w:t>t wait</w:t>
      </w:r>
      <w:r>
        <w:rPr>
          <w:rStyle w:val="None"/>
          <w:color w:val="595959"/>
          <w:sz w:val="18"/>
          <w:szCs w:val="18"/>
          <w:u w:color="595959"/>
        </w:rPr>
        <w:t xml:space="preserve"> </w:t>
      </w:r>
      <w:r>
        <w:rPr>
          <w:rStyle w:val="None"/>
          <w:b/>
          <w:bCs/>
          <w:color w:val="595959"/>
          <w:sz w:val="18"/>
          <w:szCs w:val="18"/>
          <w:u w:color="595959"/>
        </w:rPr>
        <w:t>until the end</w:t>
      </w:r>
      <w:r>
        <w:rPr>
          <w:rStyle w:val="None"/>
          <w:color w:val="595959"/>
          <w:sz w:val="18"/>
          <w:szCs w:val="18"/>
          <w:u w:color="595959"/>
        </w:rPr>
        <w:t xml:space="preserve"> </w:t>
      </w:r>
      <w:r>
        <w:rPr>
          <w:rStyle w:val="None"/>
          <w:b/>
          <w:bCs/>
          <w:color w:val="595959"/>
          <w:sz w:val="18"/>
          <w:szCs w:val="18"/>
          <w:u w:color="595959"/>
        </w:rPr>
        <w:t>—</w:t>
      </w:r>
      <w:r>
        <w:rPr>
          <w:rStyle w:val="None"/>
          <w:color w:val="595959"/>
          <w:sz w:val="18"/>
          <w:szCs w:val="18"/>
          <w:u w:color="595959"/>
        </w:rPr>
        <w:t xml:space="preserve"> </w:t>
      </w:r>
      <w:proofErr w:type="gramStart"/>
      <w:r>
        <w:rPr>
          <w:rStyle w:val="None"/>
          <w:color w:val="595959"/>
          <w:sz w:val="18"/>
          <w:szCs w:val="18"/>
          <w:u w:color="595959"/>
        </w:rPr>
        <w:t>Complete</w:t>
      </w:r>
      <w:proofErr w:type="gramEnd"/>
      <w:r>
        <w:rPr>
          <w:rStyle w:val="None"/>
          <w:color w:val="595959"/>
          <w:sz w:val="18"/>
          <w:szCs w:val="18"/>
          <w:u w:color="595959"/>
        </w:rPr>
        <w:t xml:space="preserve"> your application sufficiently in advance of the deadline to avoid any </w:t>
      </w:r>
      <w:r w:rsidR="007C020C">
        <w:rPr>
          <w:rStyle w:val="None"/>
          <w:color w:val="595959"/>
          <w:sz w:val="18"/>
          <w:szCs w:val="18"/>
          <w:u w:color="595959"/>
        </w:rPr>
        <w:t>last-minute</w:t>
      </w:r>
      <w:r>
        <w:rPr>
          <w:rStyle w:val="None"/>
          <w:color w:val="595959"/>
          <w:sz w:val="18"/>
          <w:szCs w:val="18"/>
          <w:u w:color="595959"/>
        </w:rPr>
        <w:t xml:space="preserve"> </w:t>
      </w:r>
      <w:r>
        <w:rPr>
          <w:rStyle w:val="None"/>
          <w:b/>
          <w:bCs/>
          <w:color w:val="595959"/>
          <w:sz w:val="18"/>
          <w:szCs w:val="18"/>
          <w:u w:color="595959"/>
        </w:rPr>
        <w:t>problems</w:t>
      </w:r>
      <w:r>
        <w:rPr>
          <w:rStyle w:val="None"/>
          <w:color w:val="595959"/>
          <w:sz w:val="18"/>
          <w:szCs w:val="18"/>
          <w:u w:color="595959"/>
        </w:rPr>
        <w:t>. Problems due to last minute submissions will be entirely at your risk. Call deadlines can NOT be extended.</w:t>
      </w:r>
    </w:p>
    <w:p w14:paraId="4F77F6D0" w14:textId="77777777" w:rsidR="00855A5C" w:rsidRDefault="00F833A3">
      <w:pPr>
        <w:pStyle w:val="Body"/>
        <w:numPr>
          <w:ilvl w:val="0"/>
          <w:numId w:val="37"/>
        </w:numPr>
        <w:ind w:right="79"/>
        <w:rPr>
          <w:color w:val="595959"/>
          <w:sz w:val="18"/>
          <w:szCs w:val="18"/>
          <w:lang w:val="it-IT"/>
        </w:rPr>
      </w:pPr>
      <w:proofErr w:type="spellStart"/>
      <w:r>
        <w:rPr>
          <w:rStyle w:val="None"/>
          <w:b/>
          <w:bCs/>
          <w:color w:val="595959"/>
          <w:sz w:val="18"/>
          <w:szCs w:val="18"/>
          <w:u w:color="595959"/>
          <w:lang w:val="it-IT"/>
        </w:rPr>
        <w:t>Consult</w:t>
      </w:r>
      <w:proofErr w:type="spellEnd"/>
      <w:r>
        <w:rPr>
          <w:rStyle w:val="None"/>
          <w:color w:val="595959"/>
          <w:sz w:val="18"/>
          <w:szCs w:val="18"/>
          <w:u w:color="595959"/>
        </w:rPr>
        <w:t xml:space="preserve"> the DG MOVE Website regularly. We will use it to publish updates and additional information on the call (call and topic updates).</w:t>
      </w:r>
    </w:p>
    <w:p w14:paraId="4844754F" w14:textId="77777777" w:rsidR="00855A5C" w:rsidRPr="00E26546" w:rsidRDefault="00F833A3">
      <w:pPr>
        <w:pStyle w:val="Body"/>
        <w:numPr>
          <w:ilvl w:val="0"/>
          <w:numId w:val="38"/>
        </w:numPr>
        <w:spacing w:after="120"/>
        <w:ind w:right="79"/>
        <w:rPr>
          <w:color w:val="595959"/>
          <w:sz w:val="18"/>
          <w:szCs w:val="18"/>
          <w:lang w:val="en-IE"/>
        </w:rPr>
      </w:pPr>
      <w:r w:rsidRPr="00E26546">
        <w:rPr>
          <w:rStyle w:val="None"/>
          <w:b/>
          <w:bCs/>
          <w:color w:val="595959"/>
          <w:sz w:val="18"/>
          <w:szCs w:val="18"/>
          <w:u w:color="595959"/>
          <w:lang w:val="en-IE"/>
        </w:rPr>
        <w:t xml:space="preserve">Consortium roles </w:t>
      </w:r>
      <w:r>
        <w:rPr>
          <w:rStyle w:val="None"/>
          <w:b/>
          <w:bCs/>
          <w:color w:val="595959"/>
          <w:sz w:val="18"/>
          <w:szCs w:val="18"/>
          <w:u w:color="595959"/>
        </w:rPr>
        <w:t>—</w:t>
      </w:r>
      <w:r>
        <w:rPr>
          <w:rStyle w:val="None"/>
          <w:color w:val="595959"/>
          <w:sz w:val="18"/>
          <w:szCs w:val="18"/>
          <w:u w:color="595959"/>
        </w:rPr>
        <w:t xml:space="preserve"> </w:t>
      </w:r>
      <w:proofErr w:type="gramStart"/>
      <w:r>
        <w:rPr>
          <w:rStyle w:val="None"/>
          <w:color w:val="595959"/>
          <w:sz w:val="18"/>
          <w:szCs w:val="18"/>
          <w:u w:color="595959"/>
        </w:rPr>
        <w:t>When</w:t>
      </w:r>
      <w:proofErr w:type="gramEnd"/>
      <w:r>
        <w:rPr>
          <w:rStyle w:val="None"/>
          <w:color w:val="595959"/>
          <w:sz w:val="18"/>
          <w:szCs w:val="18"/>
          <w:u w:color="595959"/>
        </w:rPr>
        <w:t xml:space="preserve"> setting up your consortium, you should think of </w:t>
      </w:r>
      <w:proofErr w:type="spellStart"/>
      <w:r>
        <w:rPr>
          <w:rStyle w:val="None"/>
          <w:color w:val="595959"/>
          <w:sz w:val="18"/>
          <w:szCs w:val="18"/>
          <w:u w:color="595959"/>
        </w:rPr>
        <w:t>organisations</w:t>
      </w:r>
      <w:proofErr w:type="spellEnd"/>
      <w:r>
        <w:rPr>
          <w:rStyle w:val="None"/>
          <w:color w:val="595959"/>
          <w:sz w:val="18"/>
          <w:szCs w:val="18"/>
          <w:u w:color="595959"/>
        </w:rPr>
        <w:t xml:space="preserve"> that help you reach objectives and solve problems. </w:t>
      </w:r>
    </w:p>
    <w:p w14:paraId="0555392F" w14:textId="77777777" w:rsidR="00855A5C" w:rsidRDefault="00F833A3">
      <w:pPr>
        <w:pStyle w:val="Body"/>
        <w:spacing w:after="120"/>
        <w:ind w:left="567" w:right="79"/>
        <w:rPr>
          <w:rStyle w:val="None"/>
          <w:sz w:val="18"/>
          <w:szCs w:val="18"/>
        </w:rPr>
      </w:pPr>
      <w:r>
        <w:rPr>
          <w:rStyle w:val="None"/>
          <w:color w:val="595959"/>
          <w:sz w:val="18"/>
          <w:szCs w:val="18"/>
          <w:u w:color="595959"/>
        </w:rPr>
        <w:t xml:space="preserve">The roles should be attributed according to the level of participation in the project. Main participants should participate as </w:t>
      </w:r>
      <w:proofErr w:type="spellStart"/>
      <w:r>
        <w:rPr>
          <w:rStyle w:val="None"/>
          <w:b/>
          <w:bCs/>
          <w:color w:val="595959"/>
          <w:sz w:val="18"/>
          <w:szCs w:val="18"/>
          <w:u w:color="595959"/>
          <w:lang w:val="it-IT"/>
        </w:rPr>
        <w:t>beneficiaries</w:t>
      </w:r>
      <w:proofErr w:type="spellEnd"/>
      <w:r>
        <w:rPr>
          <w:rStyle w:val="None"/>
          <w:color w:val="595959"/>
          <w:sz w:val="18"/>
          <w:szCs w:val="18"/>
          <w:u w:color="595959"/>
        </w:rPr>
        <w:t xml:space="preserve"> or </w:t>
      </w:r>
      <w:r>
        <w:rPr>
          <w:rStyle w:val="None"/>
          <w:b/>
          <w:bCs/>
          <w:color w:val="595959"/>
          <w:sz w:val="18"/>
          <w:szCs w:val="18"/>
          <w:u w:color="595959"/>
        </w:rPr>
        <w:t>affiliated entities</w:t>
      </w:r>
      <w:r>
        <w:rPr>
          <w:rStyle w:val="None"/>
          <w:color w:val="595959"/>
          <w:sz w:val="18"/>
          <w:szCs w:val="18"/>
          <w:u w:color="595959"/>
        </w:rPr>
        <w:t xml:space="preserve">; other entities can participate as associated partners, subcontractors, third parties giving in-kind contributions. </w:t>
      </w:r>
      <w:r>
        <w:rPr>
          <w:rStyle w:val="None"/>
          <w:b/>
          <w:bCs/>
          <w:color w:val="595959"/>
          <w:sz w:val="18"/>
          <w:szCs w:val="18"/>
          <w:u w:color="595959"/>
        </w:rPr>
        <w:t>Associated partners</w:t>
      </w:r>
      <w:r>
        <w:rPr>
          <w:rStyle w:val="None"/>
          <w:color w:val="595959"/>
          <w:sz w:val="18"/>
          <w:szCs w:val="18"/>
          <w:u w:color="595959"/>
        </w:rPr>
        <w:t xml:space="preserve"> and third parties giving in-kind contributions should bear their own costs (they will not become formal recipients of EU funding). </w:t>
      </w:r>
    </w:p>
    <w:p w14:paraId="317F7F9D" w14:textId="77777777" w:rsidR="00855A5C" w:rsidRDefault="00F833A3">
      <w:pPr>
        <w:pStyle w:val="Body"/>
        <w:ind w:left="567" w:right="78"/>
        <w:rPr>
          <w:rStyle w:val="None"/>
          <w:color w:val="595959"/>
          <w:sz w:val="18"/>
          <w:szCs w:val="18"/>
          <w:u w:color="595959"/>
        </w:rPr>
      </w:pPr>
      <w:r>
        <w:rPr>
          <w:rStyle w:val="None"/>
          <w:color w:val="595959"/>
          <w:sz w:val="18"/>
          <w:szCs w:val="18"/>
          <w:u w:color="595959"/>
        </w:rPr>
        <w:t>For EU framework partnerships, the consortium must be formed at FPA level. Only entities which are part of the FPA can become beneficiaries in the grants awarded under the framework partnership.</w:t>
      </w:r>
    </w:p>
    <w:p w14:paraId="034F8514" w14:textId="77777777" w:rsidR="00855A5C" w:rsidRDefault="00F833A3">
      <w:pPr>
        <w:pStyle w:val="Body"/>
        <w:numPr>
          <w:ilvl w:val="0"/>
          <w:numId w:val="38"/>
        </w:numPr>
        <w:ind w:right="78"/>
        <w:rPr>
          <w:color w:val="595959"/>
          <w:sz w:val="18"/>
          <w:szCs w:val="18"/>
          <w:lang w:val="nl-NL"/>
        </w:rPr>
      </w:pPr>
      <w:proofErr w:type="spellStart"/>
      <w:r>
        <w:rPr>
          <w:rStyle w:val="None"/>
          <w:b/>
          <w:bCs/>
          <w:color w:val="595959"/>
          <w:sz w:val="18"/>
          <w:szCs w:val="18"/>
          <w:u w:color="595959"/>
          <w:lang w:val="nl-NL"/>
        </w:rPr>
        <w:t>Coordinator</w:t>
      </w:r>
      <w:proofErr w:type="spellEnd"/>
      <w:r>
        <w:rPr>
          <w:rStyle w:val="None"/>
          <w:b/>
          <w:bCs/>
          <w:color w:val="595959"/>
          <w:sz w:val="18"/>
          <w:szCs w:val="18"/>
          <w:u w:color="595959"/>
          <w:lang w:val="nl-NL"/>
        </w:rPr>
        <w:t xml:space="preserve"> </w:t>
      </w:r>
      <w:r>
        <w:rPr>
          <w:rStyle w:val="None"/>
          <w:b/>
          <w:bCs/>
          <w:color w:val="595959"/>
          <w:sz w:val="18"/>
          <w:szCs w:val="18"/>
          <w:u w:color="595959"/>
        </w:rPr>
        <w:t xml:space="preserve">— </w:t>
      </w:r>
      <w:r>
        <w:rPr>
          <w:rStyle w:val="None"/>
          <w:color w:val="595959"/>
          <w:sz w:val="18"/>
          <w:szCs w:val="18"/>
          <w:u w:color="595959"/>
        </w:rPr>
        <w:t>In multi-beneficiary grants, the beneficiaries participate as consortium (group of beneficiaries). They will have to choose a coordinator, who will take care of the project management and coordination and will represent the consortium towards the granting authority. In mono-beneficiary grants, the single beneficiary will automatically be coordinator.</w:t>
      </w:r>
    </w:p>
    <w:p w14:paraId="1CB0F7FB" w14:textId="77777777" w:rsidR="00855A5C" w:rsidRDefault="00F833A3">
      <w:pPr>
        <w:pStyle w:val="Body"/>
        <w:numPr>
          <w:ilvl w:val="0"/>
          <w:numId w:val="38"/>
        </w:numPr>
        <w:ind w:right="78"/>
        <w:rPr>
          <w:color w:val="595959"/>
          <w:sz w:val="18"/>
          <w:szCs w:val="18"/>
        </w:rPr>
      </w:pPr>
      <w:r>
        <w:rPr>
          <w:rStyle w:val="None"/>
          <w:b/>
          <w:bCs/>
          <w:color w:val="595959"/>
          <w:sz w:val="18"/>
          <w:szCs w:val="18"/>
          <w:u w:color="595959"/>
        </w:rPr>
        <w:t xml:space="preserve">Affiliated entities </w:t>
      </w:r>
      <w:r>
        <w:rPr>
          <w:rStyle w:val="None"/>
          <w:color w:val="595959"/>
          <w:sz w:val="18"/>
          <w:szCs w:val="18"/>
          <w:u w:color="595959"/>
        </w:rPr>
        <w:t>— Applicants may participate with affiliated entities (i.e. entities linked to a beneficiary which participate in the action with similar rights and obligations as the beneficiaries, but do not sign the grant and therefore do not become beneficiaries themselves). They will get a part of the grant money and must therefore comply with all the call conditions and be validated (just like beneficiaries); but they do not count towards the minimum eligibility criteria for consortium composition (if any).</w:t>
      </w:r>
    </w:p>
    <w:p w14:paraId="4C261600" w14:textId="77777777" w:rsidR="00855A5C" w:rsidRDefault="00F833A3">
      <w:pPr>
        <w:pStyle w:val="Body"/>
        <w:numPr>
          <w:ilvl w:val="0"/>
          <w:numId w:val="38"/>
        </w:numPr>
        <w:ind w:right="78"/>
        <w:rPr>
          <w:color w:val="595959"/>
          <w:sz w:val="18"/>
          <w:szCs w:val="18"/>
        </w:rPr>
      </w:pPr>
      <w:r>
        <w:rPr>
          <w:rStyle w:val="None"/>
          <w:b/>
          <w:bCs/>
          <w:color w:val="595959"/>
          <w:sz w:val="18"/>
          <w:szCs w:val="18"/>
          <w:u w:color="595959"/>
        </w:rPr>
        <w:t xml:space="preserve">Associated partners </w:t>
      </w:r>
      <w:r>
        <w:rPr>
          <w:rStyle w:val="None"/>
          <w:color w:val="595959"/>
          <w:sz w:val="18"/>
          <w:szCs w:val="18"/>
          <w:u w:color="595959"/>
        </w:rPr>
        <w:t>— Applicants may participate with associated partners</w:t>
      </w:r>
      <w:r>
        <w:rPr>
          <w:rStyle w:val="None"/>
          <w:b/>
          <w:bCs/>
          <w:color w:val="595959"/>
          <w:sz w:val="18"/>
          <w:szCs w:val="18"/>
          <w:u w:color="595959"/>
        </w:rPr>
        <w:t xml:space="preserve"> </w:t>
      </w:r>
      <w:r>
        <w:rPr>
          <w:rStyle w:val="None"/>
          <w:color w:val="595959"/>
          <w:sz w:val="18"/>
          <w:szCs w:val="18"/>
          <w:u w:color="595959"/>
        </w:rPr>
        <w:t xml:space="preserve">(i.e. partner </w:t>
      </w:r>
      <w:proofErr w:type="spellStart"/>
      <w:r>
        <w:rPr>
          <w:rStyle w:val="None"/>
          <w:color w:val="595959"/>
          <w:sz w:val="18"/>
          <w:szCs w:val="18"/>
          <w:u w:color="595959"/>
        </w:rPr>
        <w:t>organisations</w:t>
      </w:r>
      <w:proofErr w:type="spellEnd"/>
      <w:r>
        <w:rPr>
          <w:rStyle w:val="None"/>
          <w:color w:val="595959"/>
          <w:sz w:val="18"/>
          <w:szCs w:val="18"/>
          <w:u w:color="595959"/>
        </w:rPr>
        <w:t xml:space="preserve"> which participate in the action but without the right to get grant money). They participate without funding and therefore do not need to be validated.</w:t>
      </w:r>
    </w:p>
    <w:p w14:paraId="6C26E938" w14:textId="77777777" w:rsidR="00855A5C" w:rsidRDefault="00F833A3">
      <w:pPr>
        <w:pStyle w:val="Body"/>
        <w:numPr>
          <w:ilvl w:val="0"/>
          <w:numId w:val="38"/>
        </w:numPr>
        <w:ind w:right="79"/>
        <w:rPr>
          <w:color w:val="595959"/>
          <w:sz w:val="18"/>
          <w:szCs w:val="18"/>
        </w:rPr>
      </w:pPr>
      <w:r>
        <w:rPr>
          <w:rStyle w:val="None"/>
          <w:b/>
          <w:bCs/>
          <w:color w:val="595959"/>
          <w:sz w:val="18"/>
          <w:szCs w:val="18"/>
          <w:u w:color="595959"/>
        </w:rPr>
        <w:t xml:space="preserve">Consortium agreement </w:t>
      </w:r>
      <w:r>
        <w:rPr>
          <w:rStyle w:val="None"/>
          <w:color w:val="595959"/>
          <w:sz w:val="18"/>
          <w:szCs w:val="18"/>
          <w:u w:color="595959"/>
        </w:rPr>
        <w:t xml:space="preserve">— For practical and legal reasons it is recommended to set up internal arrangements that allow you to deal with exceptional or unforeseen circumstances (in all cases, even if not mandatory under the Grant Agreement). The consortium agreement also gives you the possibility to redistribute the grant money according to your </w:t>
      </w:r>
      <w:r>
        <w:rPr>
          <w:rStyle w:val="None"/>
          <w:color w:val="595959"/>
          <w:sz w:val="18"/>
          <w:szCs w:val="18"/>
          <w:u w:color="595959"/>
        </w:rPr>
        <w:lastRenderedPageBreak/>
        <w:t xml:space="preserve">own consortium-internal principles and parameters (for instance, one beneficiary can reattribute its grant money to another beneficiary). The consortium agreement thus allows you to </w:t>
      </w:r>
      <w:proofErr w:type="spellStart"/>
      <w:r>
        <w:rPr>
          <w:rStyle w:val="None"/>
          <w:color w:val="595959"/>
          <w:sz w:val="18"/>
          <w:szCs w:val="18"/>
          <w:u w:color="595959"/>
        </w:rPr>
        <w:t>customise</w:t>
      </w:r>
      <w:proofErr w:type="spellEnd"/>
      <w:r>
        <w:rPr>
          <w:rStyle w:val="None"/>
          <w:color w:val="595959"/>
          <w:sz w:val="18"/>
          <w:szCs w:val="18"/>
          <w:u w:color="595959"/>
        </w:rPr>
        <w:t xml:space="preserve"> the EU grant to the needs inside your consortium and can also help to protect you in case of disputes.</w:t>
      </w:r>
    </w:p>
    <w:p w14:paraId="2BCE06C6" w14:textId="77777777" w:rsidR="00855A5C" w:rsidRDefault="00F833A3">
      <w:pPr>
        <w:pStyle w:val="Body"/>
        <w:numPr>
          <w:ilvl w:val="0"/>
          <w:numId w:val="38"/>
        </w:numPr>
        <w:ind w:right="78"/>
        <w:rPr>
          <w:color w:val="595959"/>
          <w:sz w:val="18"/>
          <w:szCs w:val="18"/>
        </w:rPr>
      </w:pPr>
      <w:r>
        <w:rPr>
          <w:rStyle w:val="None"/>
          <w:b/>
          <w:bCs/>
          <w:color w:val="595959"/>
          <w:sz w:val="18"/>
          <w:szCs w:val="18"/>
          <w:u w:color="595959"/>
        </w:rPr>
        <w:t>Balanced project budget —</w:t>
      </w:r>
      <w:r>
        <w:rPr>
          <w:rStyle w:val="None"/>
          <w:color w:val="595959"/>
          <w:sz w:val="18"/>
          <w:szCs w:val="18"/>
          <w:u w:color="595959"/>
        </w:rPr>
        <w:t xml:space="preserve"> Grant applications must ensure a balanced project budget and sufficient other resources to implement the project successfully </w:t>
      </w:r>
      <w:r>
        <w:rPr>
          <w:rStyle w:val="None"/>
          <w:i/>
          <w:iCs/>
          <w:color w:val="595959"/>
          <w:sz w:val="18"/>
          <w:szCs w:val="18"/>
          <w:u w:color="595959"/>
        </w:rPr>
        <w:t xml:space="preserve">(e.g. own contributions, income generated by the action, financial contributions from third parties, </w:t>
      </w:r>
      <w:proofErr w:type="spellStart"/>
      <w:r>
        <w:rPr>
          <w:rStyle w:val="None"/>
          <w:i/>
          <w:iCs/>
          <w:color w:val="595959"/>
          <w:sz w:val="18"/>
          <w:szCs w:val="18"/>
          <w:u w:color="595959"/>
        </w:rPr>
        <w:t>etc</w:t>
      </w:r>
      <w:proofErr w:type="spellEnd"/>
      <w:r>
        <w:rPr>
          <w:rStyle w:val="None"/>
          <w:i/>
          <w:iCs/>
          <w:color w:val="595959"/>
          <w:sz w:val="18"/>
          <w:szCs w:val="18"/>
          <w:u w:color="595959"/>
        </w:rPr>
        <w:t>)</w:t>
      </w:r>
      <w:r>
        <w:rPr>
          <w:rStyle w:val="None"/>
          <w:color w:val="595959"/>
          <w:sz w:val="18"/>
          <w:szCs w:val="18"/>
          <w:u w:color="595959"/>
        </w:rPr>
        <w:t xml:space="preserve">. You may be requested to lower your estimated costs, if they are ineligible (including excessive). </w:t>
      </w:r>
    </w:p>
    <w:p w14:paraId="19E6B678" w14:textId="77777777" w:rsidR="00855A5C" w:rsidRDefault="00F833A3">
      <w:pPr>
        <w:pStyle w:val="Body"/>
        <w:numPr>
          <w:ilvl w:val="0"/>
          <w:numId w:val="38"/>
        </w:numPr>
        <w:ind w:right="78"/>
        <w:rPr>
          <w:color w:val="595959"/>
          <w:sz w:val="18"/>
          <w:szCs w:val="18"/>
        </w:rPr>
      </w:pPr>
      <w:r>
        <w:rPr>
          <w:rStyle w:val="None"/>
          <w:b/>
          <w:bCs/>
          <w:color w:val="595959"/>
          <w:sz w:val="18"/>
          <w:szCs w:val="18"/>
          <w:u w:color="595959"/>
        </w:rPr>
        <w:t xml:space="preserve">No-profit rule — </w:t>
      </w:r>
      <w:r>
        <w:rPr>
          <w:rStyle w:val="None"/>
          <w:color w:val="595959"/>
          <w:sz w:val="18"/>
          <w:szCs w:val="18"/>
          <w:u w:color="595959"/>
        </w:rPr>
        <w:t>Grants may</w:t>
      </w:r>
      <w:r>
        <w:rPr>
          <w:rStyle w:val="None"/>
          <w:b/>
          <w:bCs/>
          <w:color w:val="595959"/>
          <w:sz w:val="18"/>
          <w:szCs w:val="18"/>
          <w:u w:color="595959"/>
        </w:rPr>
        <w:t xml:space="preserve"> </w:t>
      </w:r>
      <w:r>
        <w:rPr>
          <w:rStyle w:val="None"/>
          <w:color w:val="595959"/>
          <w:sz w:val="18"/>
          <w:szCs w:val="18"/>
          <w:u w:color="595959"/>
        </w:rPr>
        <w:t xml:space="preserve">NOT give a profit (i.e. surplus of revenues + EU grant over costs). This will be checked by us at the end of the project. </w:t>
      </w:r>
    </w:p>
    <w:p w14:paraId="42F2D995" w14:textId="77777777" w:rsidR="00855A5C" w:rsidRDefault="00F833A3">
      <w:pPr>
        <w:pStyle w:val="Body"/>
        <w:numPr>
          <w:ilvl w:val="0"/>
          <w:numId w:val="38"/>
        </w:numPr>
        <w:ind w:right="79"/>
        <w:rPr>
          <w:color w:val="595959"/>
          <w:sz w:val="18"/>
          <w:szCs w:val="18"/>
        </w:rPr>
      </w:pPr>
      <w:r>
        <w:rPr>
          <w:rStyle w:val="None"/>
          <w:b/>
          <w:bCs/>
          <w:color w:val="595959"/>
          <w:sz w:val="18"/>
          <w:szCs w:val="18"/>
          <w:u w:color="595959"/>
        </w:rPr>
        <w:t>No double funding</w:t>
      </w:r>
      <w:r>
        <w:rPr>
          <w:rStyle w:val="None"/>
          <w:i/>
          <w:iCs/>
          <w:color w:val="595959"/>
          <w:sz w:val="18"/>
          <w:szCs w:val="18"/>
          <w:u w:color="595959"/>
        </w:rPr>
        <w:t xml:space="preserve"> </w:t>
      </w:r>
      <w:r>
        <w:rPr>
          <w:rStyle w:val="None"/>
          <w:b/>
          <w:bCs/>
          <w:color w:val="595959"/>
          <w:sz w:val="18"/>
          <w:szCs w:val="18"/>
          <w:u w:color="595959"/>
        </w:rPr>
        <w:t xml:space="preserve">— </w:t>
      </w:r>
      <w:proofErr w:type="gramStart"/>
      <w:r>
        <w:rPr>
          <w:rStyle w:val="None"/>
          <w:color w:val="595959"/>
          <w:sz w:val="18"/>
          <w:szCs w:val="18"/>
          <w:u w:color="595959"/>
        </w:rPr>
        <w:t>There</w:t>
      </w:r>
      <w:proofErr w:type="gramEnd"/>
      <w:r>
        <w:rPr>
          <w:rStyle w:val="None"/>
          <w:color w:val="595959"/>
          <w:sz w:val="18"/>
          <w:szCs w:val="18"/>
          <w:u w:color="595959"/>
        </w:rPr>
        <w:t xml:space="preserve"> is a strict prohibition of double funding from the EU budget (except under EU Synergies actions).</w:t>
      </w:r>
      <w:r>
        <w:rPr>
          <w:rStyle w:val="None"/>
          <w:sz w:val="18"/>
          <w:szCs w:val="18"/>
        </w:rPr>
        <w:t xml:space="preserve"> </w:t>
      </w:r>
      <w:r>
        <w:rPr>
          <w:rStyle w:val="None"/>
          <w:color w:val="595959"/>
          <w:sz w:val="18"/>
          <w:szCs w:val="18"/>
          <w:u w:color="595959"/>
        </w:rPr>
        <w:t xml:space="preserve">Outside such Synergies actions, any given action may receive only ONE grant from the EU budget and cost items may under NO circumstances declared to two different EU actions. </w:t>
      </w:r>
    </w:p>
    <w:p w14:paraId="7992079C" w14:textId="77777777" w:rsidR="00855A5C" w:rsidRDefault="00F833A3">
      <w:pPr>
        <w:pStyle w:val="Body"/>
        <w:numPr>
          <w:ilvl w:val="0"/>
          <w:numId w:val="38"/>
        </w:numPr>
        <w:ind w:right="78"/>
        <w:rPr>
          <w:color w:val="595959"/>
          <w:sz w:val="18"/>
          <w:szCs w:val="18"/>
        </w:rPr>
      </w:pPr>
      <w:r>
        <w:rPr>
          <w:rStyle w:val="None"/>
          <w:b/>
          <w:bCs/>
          <w:color w:val="595959"/>
          <w:sz w:val="18"/>
          <w:szCs w:val="18"/>
          <w:u w:color="595959"/>
        </w:rPr>
        <w:t>Completed/ongoing projects</w:t>
      </w:r>
      <w:r>
        <w:rPr>
          <w:rStyle w:val="None"/>
          <w:color w:val="595959"/>
          <w:sz w:val="18"/>
          <w:szCs w:val="18"/>
          <w:u w:color="595959"/>
        </w:rPr>
        <w:t xml:space="preserve"> </w:t>
      </w:r>
      <w:r>
        <w:rPr>
          <w:rStyle w:val="None"/>
          <w:b/>
          <w:bCs/>
          <w:color w:val="595959"/>
          <w:sz w:val="18"/>
          <w:szCs w:val="18"/>
          <w:u w:color="595959"/>
        </w:rPr>
        <w:t xml:space="preserve">— </w:t>
      </w:r>
      <w:r>
        <w:rPr>
          <w:rStyle w:val="None"/>
          <w:color w:val="595959"/>
          <w:sz w:val="18"/>
          <w:szCs w:val="18"/>
          <w:u w:color="595959"/>
        </w:rPr>
        <w:t>Proposals for projects that have already been completed will be rejected; proposals for projects that have already started will be assessed on a case-by-case basis (in this case, no costs can be reimbursed for activities that took place before the project starting date/proposal submission).</w:t>
      </w:r>
    </w:p>
    <w:p w14:paraId="723AEDBF" w14:textId="77777777" w:rsidR="00855A5C" w:rsidRDefault="00F833A3">
      <w:pPr>
        <w:pStyle w:val="Body"/>
        <w:numPr>
          <w:ilvl w:val="0"/>
          <w:numId w:val="38"/>
        </w:numPr>
        <w:ind w:right="79"/>
        <w:rPr>
          <w:color w:val="595959"/>
          <w:sz w:val="18"/>
          <w:szCs w:val="18"/>
        </w:rPr>
      </w:pPr>
      <w:r>
        <w:rPr>
          <w:rStyle w:val="None"/>
          <w:b/>
          <w:bCs/>
          <w:color w:val="595959"/>
          <w:sz w:val="18"/>
          <w:szCs w:val="18"/>
          <w:u w:color="595959"/>
        </w:rPr>
        <w:t xml:space="preserve">Combination with EU operating grants — </w:t>
      </w:r>
      <w:r>
        <w:rPr>
          <w:rStyle w:val="None"/>
          <w:color w:val="595959"/>
          <w:sz w:val="18"/>
          <w:szCs w:val="18"/>
          <w:u w:color="595959"/>
        </w:rPr>
        <w:t xml:space="preserve">Combination with EU operating grants is possible, if the project remains outside the operating grant work </w:t>
      </w:r>
      <w:proofErr w:type="spellStart"/>
      <w:r>
        <w:rPr>
          <w:rStyle w:val="None"/>
          <w:color w:val="595959"/>
          <w:sz w:val="18"/>
          <w:szCs w:val="18"/>
          <w:u w:color="595959"/>
        </w:rPr>
        <w:t>programme</w:t>
      </w:r>
      <w:proofErr w:type="spellEnd"/>
      <w:r>
        <w:rPr>
          <w:rStyle w:val="None"/>
          <w:color w:val="595959"/>
          <w:sz w:val="18"/>
          <w:szCs w:val="18"/>
          <w:u w:color="595959"/>
        </w:rPr>
        <w:t xml:space="preserve"> and you make sure that cost items are clearly separated in your accounting and NOT declared twice </w:t>
      </w:r>
      <w:r>
        <w:rPr>
          <w:rStyle w:val="None"/>
          <w:i/>
          <w:iCs/>
          <w:color w:val="595959"/>
          <w:sz w:val="18"/>
          <w:szCs w:val="18"/>
          <w:u w:color="595959"/>
        </w:rPr>
        <w:t xml:space="preserve">(see </w:t>
      </w:r>
      <w:hyperlink r:id="rId23" w:history="1">
        <w:r>
          <w:rPr>
            <w:rStyle w:val="Hyperlink4"/>
            <w:sz w:val="18"/>
            <w:szCs w:val="18"/>
          </w:rPr>
          <w:t>AGA — Annotated Model Grant Agreement, art 6.2.E</w:t>
        </w:r>
      </w:hyperlink>
      <w:r>
        <w:rPr>
          <w:rStyle w:val="None"/>
          <w:i/>
          <w:iCs/>
          <w:color w:val="595959"/>
          <w:sz w:val="18"/>
          <w:szCs w:val="18"/>
          <w:u w:color="595959"/>
        </w:rPr>
        <w:t>).</w:t>
      </w:r>
      <w:r>
        <w:rPr>
          <w:rStyle w:val="None"/>
          <w:color w:val="4AA55B"/>
          <w:sz w:val="18"/>
          <w:szCs w:val="18"/>
          <w:u w:color="4AA55B"/>
        </w:rPr>
        <w:t xml:space="preserve"> </w:t>
      </w:r>
    </w:p>
    <w:p w14:paraId="59BF9ED0" w14:textId="77777777" w:rsidR="00855A5C" w:rsidRPr="00E26546" w:rsidRDefault="00F833A3">
      <w:pPr>
        <w:pStyle w:val="Body"/>
        <w:numPr>
          <w:ilvl w:val="0"/>
          <w:numId w:val="38"/>
        </w:numPr>
        <w:ind w:right="79"/>
        <w:rPr>
          <w:b/>
          <w:bCs/>
          <w:color w:val="595959"/>
          <w:sz w:val="18"/>
          <w:szCs w:val="18"/>
          <w:lang w:val="en-IE"/>
        </w:rPr>
      </w:pPr>
      <w:r w:rsidRPr="00E26546">
        <w:rPr>
          <w:rStyle w:val="None"/>
          <w:b/>
          <w:bCs/>
          <w:color w:val="595959"/>
          <w:sz w:val="18"/>
          <w:szCs w:val="18"/>
          <w:u w:color="595959"/>
          <w:lang w:val="en-IE"/>
        </w:rPr>
        <w:t>Resubmission</w:t>
      </w:r>
      <w:r>
        <w:rPr>
          <w:rStyle w:val="None"/>
          <w:color w:val="595959"/>
          <w:sz w:val="18"/>
          <w:szCs w:val="18"/>
          <w:u w:color="595959"/>
        </w:rPr>
        <w:t xml:space="preserve"> </w:t>
      </w:r>
      <w:r>
        <w:rPr>
          <w:rStyle w:val="None"/>
          <w:b/>
          <w:bCs/>
          <w:color w:val="595959"/>
          <w:sz w:val="18"/>
          <w:szCs w:val="18"/>
          <w:u w:color="595959"/>
        </w:rPr>
        <w:t>—</w:t>
      </w:r>
      <w:r>
        <w:rPr>
          <w:rStyle w:val="None"/>
          <w:color w:val="595959"/>
          <w:sz w:val="18"/>
          <w:szCs w:val="18"/>
          <w:u w:color="595959"/>
        </w:rPr>
        <w:t xml:space="preserve"> Proposals may be changed and re-submitted until the deadline for submission.</w:t>
      </w:r>
    </w:p>
    <w:p w14:paraId="273C7718" w14:textId="77777777" w:rsidR="00855A5C" w:rsidRPr="00E26546" w:rsidRDefault="00F833A3">
      <w:pPr>
        <w:pStyle w:val="Body"/>
        <w:numPr>
          <w:ilvl w:val="0"/>
          <w:numId w:val="36"/>
        </w:numPr>
        <w:spacing w:after="120"/>
        <w:ind w:right="79"/>
        <w:rPr>
          <w:b/>
          <w:bCs/>
          <w:sz w:val="18"/>
          <w:szCs w:val="18"/>
          <w:lang w:val="en-IE"/>
        </w:rPr>
      </w:pPr>
      <w:r w:rsidRPr="00E26546">
        <w:rPr>
          <w:rStyle w:val="None"/>
          <w:b/>
          <w:bCs/>
          <w:color w:val="595959"/>
          <w:sz w:val="18"/>
          <w:szCs w:val="18"/>
          <w:u w:color="595959"/>
          <w:lang w:val="en-IE"/>
        </w:rPr>
        <w:t xml:space="preserve">Rejection </w:t>
      </w:r>
      <w:r>
        <w:rPr>
          <w:rStyle w:val="None"/>
          <w:b/>
          <w:bCs/>
          <w:color w:val="595959"/>
          <w:sz w:val="18"/>
          <w:szCs w:val="18"/>
          <w:u w:color="595959"/>
        </w:rPr>
        <w:t xml:space="preserve">— </w:t>
      </w:r>
      <w:proofErr w:type="gramStart"/>
      <w:r>
        <w:rPr>
          <w:rStyle w:val="None"/>
          <w:color w:val="595959"/>
          <w:sz w:val="18"/>
          <w:szCs w:val="18"/>
          <w:u w:color="595959"/>
        </w:rPr>
        <w:t>By</w:t>
      </w:r>
      <w:proofErr w:type="gramEnd"/>
      <w:r>
        <w:rPr>
          <w:rStyle w:val="None"/>
          <w:color w:val="595959"/>
          <w:sz w:val="18"/>
          <w:szCs w:val="18"/>
          <w:u w:color="595959"/>
        </w:rPr>
        <w:t xml:space="preserve"> submitting the application, all applicants accept the call conditions set out in this this Call Document (and the documents it refers to). Proposals that do not comply with all the call conditions will be </w:t>
      </w:r>
      <w:r>
        <w:rPr>
          <w:rStyle w:val="None"/>
          <w:b/>
          <w:bCs/>
          <w:color w:val="595959"/>
          <w:sz w:val="18"/>
          <w:szCs w:val="18"/>
          <w:u w:color="595959"/>
        </w:rPr>
        <w:t>rejected</w:t>
      </w:r>
      <w:r>
        <w:rPr>
          <w:rStyle w:val="None"/>
          <w:color w:val="595959"/>
          <w:sz w:val="18"/>
          <w:szCs w:val="18"/>
          <w:u w:color="595959"/>
        </w:rPr>
        <w:t xml:space="preserve">. This applies also to applicants: All applicants need to fulfil the criteria; if any one of them </w:t>
      </w:r>
      <w:proofErr w:type="spellStart"/>
      <w:r>
        <w:rPr>
          <w:rStyle w:val="None"/>
          <w:color w:val="595959"/>
          <w:sz w:val="18"/>
          <w:szCs w:val="18"/>
          <w:u w:color="595959"/>
        </w:rPr>
        <w:t>doesn</w:t>
      </w:r>
      <w:proofErr w:type="spellEnd"/>
      <w:r>
        <w:rPr>
          <w:rStyle w:val="None"/>
          <w:color w:val="595959"/>
          <w:sz w:val="18"/>
          <w:szCs w:val="18"/>
          <w:u w:color="595959"/>
          <w:rtl/>
        </w:rPr>
        <w:t>’</w:t>
      </w:r>
      <w:r>
        <w:rPr>
          <w:rStyle w:val="None"/>
          <w:color w:val="595959"/>
          <w:sz w:val="18"/>
          <w:szCs w:val="18"/>
          <w:u w:color="595959"/>
        </w:rPr>
        <w:t>t, they must be replaced or the entire proposal will be rejected.</w:t>
      </w:r>
    </w:p>
    <w:p w14:paraId="55B18BEA" w14:textId="77777777" w:rsidR="00855A5C" w:rsidRDefault="00F833A3">
      <w:pPr>
        <w:pStyle w:val="Body"/>
        <w:numPr>
          <w:ilvl w:val="0"/>
          <w:numId w:val="36"/>
        </w:numPr>
        <w:spacing w:after="120"/>
        <w:ind w:right="79"/>
        <w:rPr>
          <w:color w:val="595959"/>
          <w:sz w:val="18"/>
          <w:szCs w:val="18"/>
          <w:lang w:val="fr-FR"/>
        </w:rPr>
      </w:pPr>
      <w:r w:rsidRPr="00E26546">
        <w:rPr>
          <w:rStyle w:val="None"/>
          <w:b/>
          <w:bCs/>
          <w:color w:val="595959"/>
          <w:sz w:val="18"/>
          <w:szCs w:val="18"/>
          <w:u w:color="595959"/>
          <w:lang w:val="en-IE"/>
        </w:rPr>
        <w:t xml:space="preserve">Cancellation </w:t>
      </w:r>
      <w:r>
        <w:rPr>
          <w:rStyle w:val="None"/>
          <w:b/>
          <w:bCs/>
          <w:color w:val="595959"/>
          <w:sz w:val="18"/>
          <w:szCs w:val="18"/>
          <w:u w:color="595959"/>
        </w:rPr>
        <w:t xml:space="preserve">— </w:t>
      </w:r>
      <w:proofErr w:type="gramStart"/>
      <w:r>
        <w:rPr>
          <w:rStyle w:val="None"/>
          <w:color w:val="595959"/>
          <w:sz w:val="18"/>
          <w:szCs w:val="18"/>
          <w:u w:color="595959"/>
        </w:rPr>
        <w:t>There</w:t>
      </w:r>
      <w:proofErr w:type="gramEnd"/>
      <w:r>
        <w:rPr>
          <w:rStyle w:val="None"/>
          <w:color w:val="595959"/>
          <w:sz w:val="18"/>
          <w:szCs w:val="18"/>
          <w:u w:color="595959"/>
        </w:rPr>
        <w:t xml:space="preserve"> may be circumstances which may require the cancellation of the call. In this case, you will be informed via a call or topic update. Please note that cancellations are without entitlement to compensation.</w:t>
      </w:r>
    </w:p>
    <w:p w14:paraId="175172B1" w14:textId="77777777" w:rsidR="00855A5C" w:rsidRDefault="00F833A3">
      <w:pPr>
        <w:pStyle w:val="Body"/>
        <w:numPr>
          <w:ilvl w:val="0"/>
          <w:numId w:val="38"/>
        </w:numPr>
        <w:ind w:right="78"/>
        <w:rPr>
          <w:color w:val="595959"/>
          <w:sz w:val="18"/>
          <w:szCs w:val="18"/>
          <w:lang w:val="it-IT"/>
        </w:rPr>
      </w:pPr>
      <w:r>
        <w:rPr>
          <w:rStyle w:val="None"/>
          <w:b/>
          <w:bCs/>
          <w:color w:val="595959"/>
          <w:sz w:val="18"/>
          <w:szCs w:val="18"/>
          <w:u w:color="595959"/>
          <w:lang w:val="it-IT"/>
        </w:rPr>
        <w:t>Language</w:t>
      </w:r>
      <w:r>
        <w:rPr>
          <w:rStyle w:val="None"/>
          <w:color w:val="595959"/>
          <w:sz w:val="18"/>
          <w:szCs w:val="18"/>
          <w:u w:color="595959"/>
        </w:rPr>
        <w:t xml:space="preserve"> </w:t>
      </w:r>
      <w:r>
        <w:rPr>
          <w:rStyle w:val="None"/>
          <w:b/>
          <w:bCs/>
          <w:color w:val="595959"/>
          <w:sz w:val="18"/>
          <w:szCs w:val="18"/>
          <w:u w:color="595959"/>
        </w:rPr>
        <w:t>—</w:t>
      </w:r>
      <w:r>
        <w:rPr>
          <w:rStyle w:val="None"/>
          <w:color w:val="595959"/>
          <w:sz w:val="18"/>
          <w:szCs w:val="18"/>
          <w:u w:color="595959"/>
        </w:rPr>
        <w:t xml:space="preserve"> You can submit your proposal in any official EU language (project abstract/summary should however always be in English). For reasons of efficiency, we strongly advise you to use English for the entire application. If you need the call documentation in another official EU language, please submit a request within 10 days after call publication (for the contact information, </w:t>
      </w:r>
      <w:r>
        <w:rPr>
          <w:rStyle w:val="None"/>
          <w:i/>
          <w:iCs/>
          <w:color w:val="595959"/>
          <w:sz w:val="18"/>
          <w:szCs w:val="18"/>
          <w:u w:color="595959"/>
        </w:rPr>
        <w:t>see section 12</w:t>
      </w:r>
      <w:r>
        <w:rPr>
          <w:rStyle w:val="None"/>
          <w:color w:val="595959"/>
          <w:sz w:val="18"/>
          <w:szCs w:val="18"/>
          <w:u w:color="595959"/>
        </w:rPr>
        <w:t>).</w:t>
      </w:r>
    </w:p>
    <w:p w14:paraId="2AA9AC3F" w14:textId="77777777" w:rsidR="00855A5C" w:rsidRDefault="00F833A3">
      <w:pPr>
        <w:pStyle w:val="Body"/>
        <w:numPr>
          <w:ilvl w:val="0"/>
          <w:numId w:val="40"/>
        </w:numPr>
        <w:spacing w:after="120"/>
        <w:ind w:right="79"/>
        <w:rPr>
          <w:color w:val="595959"/>
          <w:sz w:val="18"/>
          <w:szCs w:val="18"/>
        </w:rPr>
      </w:pPr>
      <w:r>
        <w:rPr>
          <w:rStyle w:val="None"/>
          <w:b/>
          <w:bCs/>
          <w:color w:val="595959"/>
          <w:sz w:val="18"/>
          <w:szCs w:val="18"/>
          <w:u w:color="595959"/>
        </w:rPr>
        <w:t>Transparency —</w:t>
      </w:r>
      <w:r>
        <w:rPr>
          <w:rStyle w:val="None"/>
          <w:color w:val="595959"/>
          <w:sz w:val="18"/>
          <w:szCs w:val="18"/>
          <w:u w:color="595959"/>
        </w:rPr>
        <w:t xml:space="preserve"> In accordance with Article 38 of the </w:t>
      </w:r>
      <w:hyperlink r:id="rId24" w:history="1">
        <w:r>
          <w:rPr>
            <w:rStyle w:val="Hyperlink5"/>
            <w:sz w:val="18"/>
            <w:szCs w:val="18"/>
          </w:rPr>
          <w:t>EU Financial Regulation</w:t>
        </w:r>
      </w:hyperlink>
      <w:r>
        <w:rPr>
          <w:rStyle w:val="None"/>
          <w:color w:val="595959"/>
          <w:sz w:val="18"/>
          <w:szCs w:val="18"/>
          <w:u w:color="595959"/>
        </w:rPr>
        <w:t>,</w:t>
      </w:r>
      <w:r>
        <w:rPr>
          <w:rStyle w:val="None"/>
          <w:b/>
          <w:bCs/>
          <w:color w:val="595959"/>
          <w:sz w:val="18"/>
          <w:szCs w:val="18"/>
          <w:u w:color="595959"/>
        </w:rPr>
        <w:t xml:space="preserve"> </w:t>
      </w:r>
      <w:r>
        <w:rPr>
          <w:rStyle w:val="None"/>
          <w:color w:val="595959"/>
          <w:sz w:val="18"/>
          <w:szCs w:val="18"/>
          <w:u w:color="595959"/>
        </w:rPr>
        <w:t>information about EU grants awarded is published each year on the</w:t>
      </w:r>
      <w:r>
        <w:rPr>
          <w:rStyle w:val="None"/>
          <w:sz w:val="18"/>
          <w:szCs w:val="18"/>
        </w:rPr>
        <w:t xml:space="preserve"> </w:t>
      </w:r>
      <w:hyperlink r:id="rId25" w:history="1">
        <w:r>
          <w:rPr>
            <w:rStyle w:val="Link"/>
            <w:sz w:val="18"/>
            <w:szCs w:val="18"/>
          </w:rPr>
          <w:t>Europa website</w:t>
        </w:r>
      </w:hyperlink>
      <w:r>
        <w:rPr>
          <w:rStyle w:val="None"/>
          <w:sz w:val="18"/>
          <w:szCs w:val="18"/>
        </w:rPr>
        <w:t xml:space="preserve">. </w:t>
      </w:r>
    </w:p>
    <w:p w14:paraId="4A41AC5A" w14:textId="77777777" w:rsidR="00855A5C" w:rsidRDefault="00F833A3">
      <w:pPr>
        <w:pStyle w:val="Body"/>
        <w:spacing w:after="60"/>
        <w:ind w:left="567" w:right="79"/>
        <w:rPr>
          <w:rStyle w:val="None"/>
          <w:color w:val="595959"/>
          <w:sz w:val="18"/>
          <w:szCs w:val="18"/>
          <w:u w:color="595959"/>
        </w:rPr>
      </w:pPr>
      <w:r>
        <w:rPr>
          <w:rStyle w:val="None"/>
          <w:color w:val="595959"/>
          <w:sz w:val="18"/>
          <w:szCs w:val="18"/>
          <w:u w:color="595959"/>
        </w:rPr>
        <w:t>This includes:</w:t>
      </w:r>
    </w:p>
    <w:p w14:paraId="547DCCC4" w14:textId="77777777" w:rsidR="00855A5C" w:rsidRDefault="00F833A3">
      <w:pPr>
        <w:pStyle w:val="Body"/>
        <w:widowControl w:val="0"/>
        <w:numPr>
          <w:ilvl w:val="0"/>
          <w:numId w:val="42"/>
        </w:numPr>
        <w:spacing w:after="60"/>
        <w:jc w:val="left"/>
        <w:rPr>
          <w:color w:val="595959"/>
          <w:sz w:val="18"/>
          <w:szCs w:val="18"/>
        </w:rPr>
      </w:pPr>
      <w:r>
        <w:rPr>
          <w:rStyle w:val="None"/>
          <w:color w:val="595959"/>
          <w:sz w:val="18"/>
          <w:szCs w:val="18"/>
          <w:u w:color="595959"/>
        </w:rPr>
        <w:t>beneficiary names</w:t>
      </w:r>
    </w:p>
    <w:p w14:paraId="79254D65" w14:textId="77777777" w:rsidR="00855A5C" w:rsidRDefault="00F833A3">
      <w:pPr>
        <w:pStyle w:val="Body"/>
        <w:widowControl w:val="0"/>
        <w:numPr>
          <w:ilvl w:val="0"/>
          <w:numId w:val="42"/>
        </w:numPr>
        <w:spacing w:after="60"/>
        <w:jc w:val="left"/>
        <w:rPr>
          <w:color w:val="595959"/>
          <w:sz w:val="18"/>
          <w:szCs w:val="18"/>
        </w:rPr>
      </w:pPr>
      <w:r>
        <w:rPr>
          <w:rStyle w:val="None"/>
          <w:color w:val="595959"/>
          <w:sz w:val="18"/>
          <w:szCs w:val="18"/>
          <w:u w:color="595959"/>
        </w:rPr>
        <w:t>beneficiary addresses</w:t>
      </w:r>
    </w:p>
    <w:p w14:paraId="271725DC" w14:textId="77777777" w:rsidR="00855A5C" w:rsidRDefault="00F833A3">
      <w:pPr>
        <w:pStyle w:val="Body"/>
        <w:widowControl w:val="0"/>
        <w:numPr>
          <w:ilvl w:val="0"/>
          <w:numId w:val="42"/>
        </w:numPr>
        <w:spacing w:after="60"/>
        <w:jc w:val="left"/>
        <w:rPr>
          <w:color w:val="595959"/>
          <w:sz w:val="18"/>
          <w:szCs w:val="18"/>
        </w:rPr>
      </w:pPr>
      <w:r>
        <w:rPr>
          <w:rStyle w:val="None"/>
          <w:color w:val="595959"/>
          <w:sz w:val="18"/>
          <w:szCs w:val="18"/>
          <w:u w:color="595959"/>
        </w:rPr>
        <w:t>the purpose for which the grant was awarded</w:t>
      </w:r>
    </w:p>
    <w:p w14:paraId="3E1440AA" w14:textId="77777777" w:rsidR="00855A5C" w:rsidRDefault="00F833A3">
      <w:pPr>
        <w:pStyle w:val="Body"/>
        <w:widowControl w:val="0"/>
        <w:numPr>
          <w:ilvl w:val="0"/>
          <w:numId w:val="42"/>
        </w:numPr>
        <w:spacing w:after="120"/>
        <w:jc w:val="left"/>
        <w:rPr>
          <w:color w:val="595959"/>
          <w:sz w:val="18"/>
          <w:szCs w:val="18"/>
        </w:rPr>
      </w:pPr>
      <w:proofErr w:type="gramStart"/>
      <w:r>
        <w:rPr>
          <w:rStyle w:val="None"/>
          <w:color w:val="595959"/>
          <w:sz w:val="18"/>
          <w:szCs w:val="18"/>
          <w:u w:color="595959"/>
        </w:rPr>
        <w:t>the</w:t>
      </w:r>
      <w:proofErr w:type="gramEnd"/>
      <w:r>
        <w:rPr>
          <w:rStyle w:val="None"/>
          <w:color w:val="595959"/>
          <w:sz w:val="18"/>
          <w:szCs w:val="18"/>
          <w:u w:color="595959"/>
        </w:rPr>
        <w:t xml:space="preserve"> maximum amount awarded.</w:t>
      </w:r>
      <w:r>
        <w:rPr>
          <w:rStyle w:val="None"/>
          <w:color w:val="595959"/>
          <w:sz w:val="18"/>
          <w:szCs w:val="18"/>
          <w:u w:color="595959"/>
        </w:rPr>
        <w:tab/>
      </w:r>
    </w:p>
    <w:p w14:paraId="2A018822" w14:textId="77777777" w:rsidR="00855A5C" w:rsidRDefault="00F833A3">
      <w:pPr>
        <w:pStyle w:val="Body"/>
        <w:widowControl w:val="0"/>
        <w:ind w:left="567"/>
        <w:rPr>
          <w:rStyle w:val="None"/>
          <w:color w:val="595959"/>
          <w:sz w:val="18"/>
          <w:szCs w:val="18"/>
          <w:u w:color="595959"/>
        </w:rPr>
      </w:pPr>
      <w:r>
        <w:rPr>
          <w:rStyle w:val="None"/>
          <w:color w:val="595959"/>
          <w:sz w:val="18"/>
          <w:szCs w:val="18"/>
          <w:u w:color="595959"/>
        </w:rPr>
        <w:t xml:space="preserve">The publication can exceptionally be waived (on reasoned and duly substantiated request), if there is a risk that the disclosure could </w:t>
      </w:r>
      <w:proofErr w:type="spellStart"/>
      <w:r>
        <w:rPr>
          <w:rStyle w:val="None"/>
          <w:color w:val="595959"/>
          <w:sz w:val="18"/>
          <w:szCs w:val="18"/>
          <w:u w:color="595959"/>
        </w:rPr>
        <w:t>jeopardise</w:t>
      </w:r>
      <w:proofErr w:type="spellEnd"/>
      <w:r>
        <w:rPr>
          <w:rStyle w:val="None"/>
          <w:color w:val="595959"/>
          <w:sz w:val="18"/>
          <w:szCs w:val="18"/>
          <w:u w:color="595959"/>
        </w:rPr>
        <w:t xml:space="preserve"> your rights and freedoms under the EU Charter of Fundamental Rights or harm your commercial interests.</w:t>
      </w:r>
    </w:p>
    <w:p w14:paraId="17D05A0B" w14:textId="77777777" w:rsidR="00855A5C" w:rsidRDefault="00F833A3">
      <w:pPr>
        <w:pStyle w:val="Default"/>
        <w:widowControl w:val="0"/>
        <w:numPr>
          <w:ilvl w:val="0"/>
          <w:numId w:val="43"/>
        </w:numPr>
        <w:spacing w:after="120"/>
        <w:rPr>
          <w:color w:val="595959"/>
          <w:sz w:val="18"/>
          <w:szCs w:val="18"/>
        </w:rPr>
      </w:pPr>
      <w:r>
        <w:rPr>
          <w:rStyle w:val="None"/>
          <w:rFonts w:ascii="Verdana" w:hAnsi="Verdana"/>
          <w:b/>
          <w:bCs/>
          <w:color w:val="595959"/>
          <w:sz w:val="18"/>
          <w:szCs w:val="18"/>
          <w:u w:color="595959"/>
        </w:rPr>
        <w:t>Data protection</w:t>
      </w:r>
      <w:r>
        <w:rPr>
          <w:rStyle w:val="None"/>
          <w:color w:val="595959"/>
          <w:sz w:val="18"/>
          <w:szCs w:val="18"/>
          <w:u w:color="595959"/>
        </w:rPr>
        <w:t xml:space="preserve"> </w:t>
      </w:r>
      <w:r>
        <w:rPr>
          <w:rStyle w:val="None"/>
          <w:rFonts w:ascii="Verdana" w:hAnsi="Verdana"/>
          <w:b/>
          <w:bCs/>
          <w:color w:val="595959"/>
          <w:sz w:val="18"/>
          <w:szCs w:val="18"/>
          <w:u w:color="595959"/>
        </w:rPr>
        <w:t xml:space="preserve">— </w:t>
      </w:r>
      <w:proofErr w:type="gramStart"/>
      <w:r>
        <w:rPr>
          <w:rStyle w:val="None"/>
          <w:rFonts w:ascii="Verdana" w:hAnsi="Verdana"/>
          <w:color w:val="595959"/>
          <w:sz w:val="18"/>
          <w:szCs w:val="18"/>
          <w:u w:color="595959"/>
        </w:rPr>
        <w:t>The</w:t>
      </w:r>
      <w:proofErr w:type="gramEnd"/>
      <w:r>
        <w:rPr>
          <w:rStyle w:val="None"/>
          <w:rFonts w:ascii="Verdana" w:hAnsi="Verdana"/>
          <w:color w:val="595959"/>
          <w:sz w:val="18"/>
          <w:szCs w:val="18"/>
          <w:u w:color="595959"/>
        </w:rPr>
        <w:t xml:space="preserve"> reply to any call for proposals involves the recording and processing of personal data (such as name, address and CV). Such data will be processed pursuant to Regulation (EU) 2018/1725 of 23 October 2018 on the protection of natural persons with regard to the processing of personal data by the Union institutions, bodies, </w:t>
      </w:r>
      <w:r>
        <w:rPr>
          <w:rStyle w:val="None"/>
          <w:rFonts w:ascii="Verdana" w:hAnsi="Verdana"/>
          <w:color w:val="595959"/>
          <w:sz w:val="18"/>
          <w:szCs w:val="18"/>
          <w:u w:color="595959"/>
        </w:rPr>
        <w:lastRenderedPageBreak/>
        <w:t>offices and agencies and on the free movement of such data, and repealing Regulation (EC) No 45/2001 and Decision No 1247/2002/</w:t>
      </w:r>
      <w:proofErr w:type="spellStart"/>
      <w:r>
        <w:rPr>
          <w:rStyle w:val="None"/>
          <w:rFonts w:ascii="Verdana" w:hAnsi="Verdana"/>
          <w:color w:val="595959"/>
          <w:sz w:val="18"/>
          <w:szCs w:val="18"/>
          <w:u w:color="595959"/>
        </w:rPr>
        <w:t>EC.Regulation</w:t>
      </w:r>
      <w:proofErr w:type="spellEnd"/>
      <w:r>
        <w:rPr>
          <w:rStyle w:val="None"/>
          <w:rFonts w:ascii="Verdana" w:hAnsi="Verdana"/>
          <w:color w:val="595959"/>
          <w:sz w:val="18"/>
          <w:szCs w:val="18"/>
          <w:u w:color="595959"/>
        </w:rPr>
        <w:t xml:space="preserve"> (EC) No 45/2001 on the protection of individuals with regard to the processing of personal data by the Community institutions and bodies and on the free movement of such data. Unless indicated otherwise, the questions and any personal data requested that are required to evaluate the application in accordance with the call for proposal will be processed solely for that purpose by the Director of Directorate C of DG MOVE</w:t>
      </w:r>
    </w:p>
    <w:p w14:paraId="2F1B1BBC" w14:textId="77777777" w:rsidR="00855A5C" w:rsidRDefault="00F833A3">
      <w:pPr>
        <w:pStyle w:val="Default"/>
        <w:widowControl w:val="0"/>
        <w:spacing w:after="120"/>
        <w:ind w:left="360"/>
      </w:pPr>
      <w:r>
        <w:rPr>
          <w:rStyle w:val="None"/>
          <w:rFonts w:ascii="Arial Unicode MS" w:hAnsi="Arial Unicode MS"/>
          <w:color w:val="595959"/>
          <w:sz w:val="18"/>
          <w:szCs w:val="18"/>
          <w:u w:color="595959"/>
        </w:rPr>
        <w:br w:type="page"/>
      </w:r>
    </w:p>
    <w:p w14:paraId="3E03B691" w14:textId="77777777" w:rsidR="00855A5C" w:rsidRDefault="00F833A3">
      <w:pPr>
        <w:pStyle w:val="Heading"/>
      </w:pPr>
      <w:bookmarkStart w:id="15" w:name="_Toc110874551"/>
      <w:r>
        <w:rPr>
          <w:rStyle w:val="None"/>
          <w:rFonts w:eastAsia="Arial Unicode MS" w:cs="Arial Unicode MS"/>
          <w:lang w:val="en-US"/>
        </w:rPr>
        <w:lastRenderedPageBreak/>
        <w:t>Annexes</w:t>
      </w:r>
      <w:bookmarkEnd w:id="15"/>
    </w:p>
    <w:p w14:paraId="2F7FA627" w14:textId="77777777" w:rsidR="00855A5C" w:rsidRDefault="00F833A3">
      <w:pPr>
        <w:pStyle w:val="Body"/>
        <w:spacing w:after="0"/>
        <w:rPr>
          <w:rStyle w:val="Link"/>
          <w:rFonts w:ascii="Calibri" w:eastAsia="Calibri" w:hAnsi="Calibri" w:cs="Calibri"/>
          <w:b/>
          <w:bCs/>
          <w:color w:val="000000"/>
          <w:sz w:val="24"/>
          <w:szCs w:val="24"/>
          <w:u w:val="none" w:color="000000"/>
        </w:rPr>
      </w:pPr>
      <w:r>
        <w:rPr>
          <w:rStyle w:val="None"/>
          <w:rFonts w:ascii="Calibri" w:hAnsi="Calibri"/>
          <w:b/>
          <w:bCs/>
          <w:sz w:val="24"/>
          <w:szCs w:val="24"/>
        </w:rPr>
        <w:t>The following Annexes can be downloaded at:</w:t>
      </w:r>
    </w:p>
    <w:p w14:paraId="4F15F8F7" w14:textId="77777777" w:rsidR="00855A5C" w:rsidRDefault="00C60A9E">
      <w:pPr>
        <w:pStyle w:val="Body"/>
        <w:spacing w:after="0"/>
        <w:rPr>
          <w:rStyle w:val="None"/>
          <w:rFonts w:ascii="Calibri" w:eastAsia="Calibri" w:hAnsi="Calibri" w:cs="Calibri"/>
          <w:sz w:val="24"/>
          <w:szCs w:val="24"/>
        </w:rPr>
      </w:pPr>
      <w:hyperlink r:id="rId26" w:history="1">
        <w:r w:rsidR="00F833A3">
          <w:rPr>
            <w:rStyle w:val="Hyperlink6"/>
          </w:rPr>
          <w:t>Grants- Calls for proposals in the field of transport</w:t>
        </w:r>
      </w:hyperlink>
    </w:p>
    <w:p w14:paraId="18FCEA8F" w14:textId="77777777" w:rsidR="00855A5C" w:rsidRDefault="00855A5C">
      <w:pPr>
        <w:pStyle w:val="Body"/>
        <w:spacing w:after="0"/>
        <w:rPr>
          <w:rStyle w:val="None"/>
          <w:rFonts w:ascii="Calibri" w:eastAsia="Calibri" w:hAnsi="Calibri" w:cs="Calibri"/>
          <w:sz w:val="24"/>
          <w:szCs w:val="24"/>
        </w:rPr>
      </w:pPr>
    </w:p>
    <w:p w14:paraId="39BF26B9"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1</w:t>
      </w:r>
      <w:r w:rsidRPr="00E26546">
        <w:rPr>
          <w:rStyle w:val="None"/>
          <w:rFonts w:ascii="Calibri" w:hAnsi="Calibri"/>
          <w:b/>
          <w:bCs/>
          <w:sz w:val="24"/>
          <w:szCs w:val="24"/>
          <w:lang w:val="en-IE"/>
        </w:rPr>
        <w:tab/>
      </w:r>
      <w:r>
        <w:rPr>
          <w:rStyle w:val="None"/>
          <w:rFonts w:ascii="Calibri" w:hAnsi="Calibri"/>
          <w:b/>
          <w:bCs/>
          <w:sz w:val="24"/>
          <w:szCs w:val="24"/>
        </w:rPr>
        <w:t>–</w:t>
      </w:r>
      <w:r w:rsidRPr="00E26546">
        <w:rPr>
          <w:rStyle w:val="None"/>
          <w:rFonts w:ascii="Calibri" w:eastAsia="Calibri" w:hAnsi="Calibri" w:cs="Calibri"/>
          <w:b/>
          <w:bCs/>
          <w:sz w:val="24"/>
          <w:szCs w:val="24"/>
          <w:lang w:val="en-IE"/>
        </w:rPr>
        <w:tab/>
        <w:t>Application Form</w:t>
      </w:r>
    </w:p>
    <w:p w14:paraId="753D5894"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2</w:t>
      </w:r>
      <w:r w:rsidRPr="00E26546">
        <w:rPr>
          <w:rStyle w:val="None"/>
          <w:rFonts w:ascii="Calibri" w:hAnsi="Calibri"/>
          <w:b/>
          <w:bCs/>
          <w:sz w:val="24"/>
          <w:szCs w:val="24"/>
          <w:lang w:val="en-IE"/>
        </w:rPr>
        <w:tab/>
      </w:r>
      <w:r>
        <w:rPr>
          <w:rStyle w:val="None"/>
          <w:rFonts w:ascii="Calibri" w:hAnsi="Calibri"/>
          <w:b/>
          <w:bCs/>
          <w:sz w:val="24"/>
          <w:szCs w:val="24"/>
        </w:rPr>
        <w:t>–</w:t>
      </w:r>
      <w:r>
        <w:rPr>
          <w:rStyle w:val="None"/>
          <w:rFonts w:ascii="Calibri" w:eastAsia="Calibri" w:hAnsi="Calibri" w:cs="Calibri"/>
          <w:b/>
          <w:bCs/>
          <w:sz w:val="24"/>
          <w:szCs w:val="24"/>
        </w:rPr>
        <w:tab/>
        <w:t>Legal identity forms</w:t>
      </w:r>
    </w:p>
    <w:p w14:paraId="4D7C09A5"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3</w:t>
      </w:r>
      <w:r w:rsidRPr="00E26546">
        <w:rPr>
          <w:rStyle w:val="None"/>
          <w:rFonts w:ascii="Calibri" w:hAnsi="Calibri"/>
          <w:b/>
          <w:bCs/>
          <w:sz w:val="24"/>
          <w:szCs w:val="24"/>
          <w:lang w:val="en-IE"/>
        </w:rPr>
        <w:tab/>
      </w:r>
      <w:r>
        <w:rPr>
          <w:rStyle w:val="None"/>
          <w:rFonts w:ascii="Calibri" w:hAnsi="Calibri"/>
          <w:b/>
          <w:bCs/>
          <w:sz w:val="24"/>
          <w:szCs w:val="24"/>
        </w:rPr>
        <w:t>–</w:t>
      </w:r>
      <w:r>
        <w:rPr>
          <w:rStyle w:val="None"/>
          <w:rFonts w:ascii="Calibri" w:eastAsia="Calibri" w:hAnsi="Calibri" w:cs="Calibri"/>
          <w:b/>
          <w:bCs/>
          <w:sz w:val="24"/>
          <w:szCs w:val="24"/>
        </w:rPr>
        <w:tab/>
        <w:t>Financial identification form</w:t>
      </w:r>
    </w:p>
    <w:p w14:paraId="2A8ADDBA"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4</w:t>
      </w:r>
      <w:r w:rsidRPr="00E26546">
        <w:rPr>
          <w:rStyle w:val="None"/>
          <w:rFonts w:ascii="Calibri" w:hAnsi="Calibri"/>
          <w:b/>
          <w:bCs/>
          <w:sz w:val="24"/>
          <w:szCs w:val="24"/>
          <w:lang w:val="en-IE"/>
        </w:rPr>
        <w:tab/>
      </w:r>
      <w:r>
        <w:rPr>
          <w:rStyle w:val="None"/>
          <w:rFonts w:ascii="Calibri" w:hAnsi="Calibri"/>
          <w:b/>
          <w:bCs/>
          <w:sz w:val="24"/>
          <w:szCs w:val="24"/>
        </w:rPr>
        <w:t>–</w:t>
      </w:r>
      <w:r>
        <w:rPr>
          <w:rStyle w:val="None"/>
          <w:rFonts w:ascii="Calibri" w:eastAsia="Calibri" w:hAnsi="Calibri" w:cs="Calibri"/>
          <w:b/>
          <w:bCs/>
          <w:sz w:val="24"/>
          <w:szCs w:val="24"/>
        </w:rPr>
        <w:tab/>
        <w:t>General Budget Overview template</w:t>
      </w:r>
    </w:p>
    <w:p w14:paraId="2C68F9CB"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5</w:t>
      </w:r>
      <w:r w:rsidRPr="00E26546">
        <w:rPr>
          <w:rStyle w:val="None"/>
          <w:rFonts w:ascii="Calibri" w:hAnsi="Calibri"/>
          <w:b/>
          <w:bCs/>
          <w:sz w:val="24"/>
          <w:szCs w:val="24"/>
          <w:lang w:val="en-IE"/>
        </w:rPr>
        <w:tab/>
      </w:r>
      <w:r w:rsidRPr="00E26546">
        <w:rPr>
          <w:rStyle w:val="None"/>
          <w:rFonts w:ascii="Calibri" w:hAnsi="Calibri"/>
          <w:b/>
          <w:bCs/>
          <w:sz w:val="24"/>
          <w:szCs w:val="24"/>
          <w:lang w:val="en-IE"/>
        </w:rPr>
        <w:tab/>
        <w:t>Detailed Budget Overview template</w:t>
      </w:r>
    </w:p>
    <w:p w14:paraId="5243B6B0"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r w:rsidRPr="00E26546">
        <w:rPr>
          <w:rStyle w:val="None"/>
          <w:rFonts w:ascii="Calibri" w:hAnsi="Calibri"/>
          <w:b/>
          <w:bCs/>
          <w:sz w:val="24"/>
          <w:szCs w:val="24"/>
          <w:lang w:val="en-IE"/>
        </w:rPr>
        <w:t>Annex 6</w:t>
      </w:r>
      <w:r w:rsidRPr="00E26546">
        <w:rPr>
          <w:rStyle w:val="None"/>
          <w:rFonts w:ascii="Calibri" w:hAnsi="Calibri"/>
          <w:b/>
          <w:bCs/>
          <w:sz w:val="24"/>
          <w:szCs w:val="24"/>
          <w:lang w:val="en-IE"/>
        </w:rPr>
        <w:tab/>
      </w:r>
      <w:r>
        <w:rPr>
          <w:rStyle w:val="None"/>
          <w:rFonts w:ascii="Calibri" w:hAnsi="Calibri"/>
          <w:b/>
          <w:bCs/>
          <w:sz w:val="24"/>
          <w:szCs w:val="24"/>
        </w:rPr>
        <w:t>–</w:t>
      </w:r>
      <w:r>
        <w:rPr>
          <w:rStyle w:val="None"/>
          <w:rFonts w:ascii="Calibri" w:eastAsia="Calibri" w:hAnsi="Calibri" w:cs="Calibri"/>
          <w:b/>
          <w:bCs/>
          <w:sz w:val="24"/>
          <w:szCs w:val="24"/>
        </w:rPr>
        <w:tab/>
        <w:t>Timetable template</w:t>
      </w:r>
    </w:p>
    <w:p w14:paraId="0AC464E4" w14:textId="77777777" w:rsidR="00855A5C" w:rsidRDefault="00F833A3">
      <w:pPr>
        <w:pStyle w:val="Body"/>
        <w:tabs>
          <w:tab w:val="left" w:pos="1134"/>
          <w:tab w:val="left" w:pos="1560"/>
        </w:tabs>
        <w:spacing w:after="0"/>
        <w:rPr>
          <w:rStyle w:val="None"/>
          <w:rFonts w:ascii="Calibri" w:eastAsia="Calibri" w:hAnsi="Calibri" w:cs="Calibri"/>
          <w:b/>
          <w:bCs/>
          <w:sz w:val="24"/>
          <w:szCs w:val="24"/>
        </w:rPr>
      </w:pPr>
      <w:proofErr w:type="spellStart"/>
      <w:r>
        <w:rPr>
          <w:rStyle w:val="None"/>
          <w:rFonts w:ascii="Calibri" w:hAnsi="Calibri"/>
          <w:b/>
          <w:bCs/>
          <w:sz w:val="24"/>
          <w:szCs w:val="24"/>
          <w:lang w:val="fr-FR"/>
        </w:rPr>
        <w:t>Annex</w:t>
      </w:r>
      <w:proofErr w:type="spellEnd"/>
      <w:r>
        <w:rPr>
          <w:rStyle w:val="None"/>
          <w:rFonts w:ascii="Calibri" w:hAnsi="Calibri"/>
          <w:b/>
          <w:bCs/>
          <w:sz w:val="24"/>
          <w:szCs w:val="24"/>
          <w:lang w:val="fr-FR"/>
        </w:rPr>
        <w:t xml:space="preserve"> 7</w:t>
      </w:r>
      <w:r>
        <w:rPr>
          <w:rStyle w:val="None"/>
          <w:rFonts w:ascii="Calibri" w:hAnsi="Calibri"/>
          <w:b/>
          <w:bCs/>
          <w:sz w:val="24"/>
          <w:szCs w:val="24"/>
          <w:lang w:val="fr-FR"/>
        </w:rPr>
        <w:tab/>
      </w:r>
      <w:r>
        <w:rPr>
          <w:rStyle w:val="None"/>
          <w:rFonts w:ascii="Calibri" w:hAnsi="Calibri"/>
          <w:b/>
          <w:bCs/>
          <w:sz w:val="24"/>
          <w:szCs w:val="24"/>
          <w:lang w:val="fr-FR"/>
        </w:rPr>
        <w:tab/>
        <w:t>Model Grant Agreement</w:t>
      </w:r>
    </w:p>
    <w:p w14:paraId="2B5F4856" w14:textId="77777777" w:rsidR="00855A5C" w:rsidRDefault="00855A5C">
      <w:pPr>
        <w:pStyle w:val="Body"/>
        <w:widowControl w:val="0"/>
        <w:ind w:right="366"/>
        <w:rPr>
          <w:rStyle w:val="None"/>
        </w:rPr>
      </w:pPr>
    </w:p>
    <w:p w14:paraId="0166C5FD" w14:textId="77777777" w:rsidR="00855A5C" w:rsidRDefault="00F833A3">
      <w:pPr>
        <w:pStyle w:val="Body"/>
        <w:widowControl w:val="0"/>
        <w:ind w:right="366"/>
      </w:pPr>
      <w:r>
        <w:rPr>
          <w:rStyle w:val="None"/>
          <w:rFonts w:ascii="Arial Unicode MS" w:hAnsi="Arial Unicode MS"/>
        </w:rPr>
        <w:br w:type="page"/>
      </w:r>
    </w:p>
    <w:sectPr w:rsidR="00855A5C">
      <w:headerReference w:type="default" r:id="rId27"/>
      <w:pgSz w:w="11900" w:h="16840"/>
      <w:pgMar w:top="1560" w:right="1588" w:bottom="1276" w:left="1588" w:header="56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4642" w14:textId="77777777" w:rsidR="00973C25" w:rsidRDefault="00973C25">
      <w:r>
        <w:separator/>
      </w:r>
    </w:p>
  </w:endnote>
  <w:endnote w:type="continuationSeparator" w:id="0">
    <w:p w14:paraId="1B7E126F" w14:textId="77777777" w:rsidR="00973C25" w:rsidRDefault="0097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F82A" w14:textId="77777777" w:rsidR="007C020C" w:rsidRDefault="007C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0DC2" w14:textId="757AC08B" w:rsidR="004D59E2" w:rsidRDefault="004D59E2">
    <w:pPr>
      <w:pStyle w:val="Footer"/>
      <w:jc w:val="right"/>
    </w:pP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sidR="00C60A9E">
      <w:rPr>
        <w:rFonts w:ascii="Verdana" w:eastAsia="Verdana" w:hAnsi="Verdana" w:cs="Verdana"/>
        <w:noProof/>
      </w:rPr>
      <w:t>20</w:t>
    </w:r>
    <w:r>
      <w:rPr>
        <w:rFonts w:ascii="Verdana" w:eastAsia="Verdana" w:hAnsi="Verdana" w:cs="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9741" w14:textId="77777777" w:rsidR="004D59E2" w:rsidRDefault="004D59E2">
    <w:pPr>
      <w:pStyle w:val="Body"/>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E1023" w14:textId="77777777" w:rsidR="00973C25" w:rsidRDefault="00973C25">
      <w:r>
        <w:separator/>
      </w:r>
    </w:p>
  </w:footnote>
  <w:footnote w:type="continuationSeparator" w:id="0">
    <w:p w14:paraId="6C85A387" w14:textId="77777777" w:rsidR="00973C25" w:rsidRDefault="00973C25">
      <w:r>
        <w:continuationSeparator/>
      </w:r>
    </w:p>
  </w:footnote>
  <w:footnote w:type="continuationNotice" w:id="1">
    <w:p w14:paraId="5D0CB0A4" w14:textId="77777777" w:rsidR="00973C25" w:rsidRDefault="00973C25"/>
  </w:footnote>
  <w:footnote w:id="2">
    <w:p w14:paraId="1E2C8434" w14:textId="77777777" w:rsidR="004D59E2" w:rsidRDefault="004D59E2">
      <w:pPr>
        <w:pStyle w:val="FootnoteText"/>
        <w:spacing w:after="0"/>
      </w:pPr>
      <w:r>
        <w:rPr>
          <w:vertAlign w:val="superscript"/>
        </w:rPr>
        <w:footnoteRef/>
      </w:r>
      <w:r>
        <w:rPr>
          <w:sz w:val="16"/>
          <w:szCs w:val="16"/>
        </w:rPr>
        <w:t xml:space="preserve"> </w:t>
      </w:r>
      <w:r>
        <w:rPr>
          <w:sz w:val="16"/>
          <w:szCs w:val="16"/>
        </w:rPr>
        <w:tab/>
        <w:t>Regulation (EU) 2021/1153 of the European Parliament and of the Council of 7 July 2021 establishing the Connecting Europe Facility (OJ L 249, 14.7.2021, p. 38).</w:t>
      </w:r>
    </w:p>
  </w:footnote>
  <w:footnote w:id="3">
    <w:p w14:paraId="2CD892A9" w14:textId="77777777" w:rsidR="004D59E2" w:rsidRDefault="004D59E2">
      <w:pPr>
        <w:pStyle w:val="FootnoteText"/>
        <w:spacing w:after="0"/>
        <w:ind w:left="360" w:hanging="360"/>
      </w:pPr>
      <w:r>
        <w:rPr>
          <w:vertAlign w:val="superscript"/>
        </w:rPr>
        <w:footnoteRef/>
      </w:r>
      <w:r>
        <w:rPr>
          <w:sz w:val="16"/>
          <w:szCs w:val="16"/>
        </w:rPr>
        <w:t xml:space="preserve"> </w:t>
      </w:r>
      <w:r>
        <w:rPr>
          <w:sz w:val="16"/>
          <w:szCs w:val="16"/>
        </w:rPr>
        <w:tab/>
        <w:t xml:space="preserve">See Articles 136 and 141 of EU Financial Regulation </w:t>
      </w:r>
      <w:hyperlink r:id="rId1" w:history="1">
        <w:r>
          <w:rPr>
            <w:rStyle w:val="Hyperlink1"/>
          </w:rPr>
          <w:t>2018/1046</w:t>
        </w:r>
      </w:hyperlink>
      <w:r>
        <w:rPr>
          <w:rStyle w:val="None"/>
          <w:sz w:val="16"/>
          <w:szCs w:val="16"/>
        </w:rPr>
        <w:t>.</w:t>
      </w:r>
      <w:r>
        <w:rPr>
          <w:rStyle w:val="None"/>
          <w:sz w:val="16"/>
          <w:szCs w:val="16"/>
          <w:vertAlign w:val="superscript"/>
        </w:rPr>
        <w:t xml:space="preserve"> </w:t>
      </w:r>
    </w:p>
  </w:footnote>
  <w:footnote w:id="4">
    <w:p w14:paraId="0B7F3A16" w14:textId="77777777" w:rsidR="004D59E2" w:rsidRDefault="004D59E2">
      <w:pPr>
        <w:pStyle w:val="FootnoteText"/>
        <w:spacing w:after="0"/>
        <w:ind w:left="360" w:hanging="360"/>
      </w:pPr>
      <w:r>
        <w:rPr>
          <w:rStyle w:val="None"/>
          <w:vertAlign w:val="superscript"/>
        </w:rPr>
        <w:footnoteRef/>
      </w:r>
      <w:r>
        <w:rPr>
          <w:rStyle w:val="None"/>
          <w:sz w:val="16"/>
          <w:szCs w:val="16"/>
        </w:rPr>
        <w:t xml:space="preserve"> </w:t>
      </w:r>
      <w:r>
        <w:rPr>
          <w:rStyle w:val="None"/>
          <w:sz w:val="16"/>
          <w:szCs w:val="16"/>
        </w:rPr>
        <w:tab/>
        <w:t>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advantage.</w:t>
      </w:r>
    </w:p>
  </w:footnote>
  <w:footnote w:id="5">
    <w:p w14:paraId="2AE4058E" w14:textId="77777777" w:rsidR="004D59E2" w:rsidRDefault="004D59E2">
      <w:pPr>
        <w:pStyle w:val="FootnoteText"/>
        <w:spacing w:after="0"/>
        <w:ind w:left="360" w:hanging="360"/>
      </w:pPr>
      <w:r>
        <w:rPr>
          <w:rStyle w:val="None"/>
          <w:vertAlign w:val="superscript"/>
        </w:rPr>
        <w:footnoteRef/>
      </w:r>
      <w:r>
        <w:rPr>
          <w:rStyle w:val="None"/>
          <w:sz w:val="16"/>
          <w:szCs w:val="16"/>
        </w:rPr>
        <w:t xml:space="preserve"> </w:t>
      </w:r>
      <w:r>
        <w:rPr>
          <w:rStyle w:val="None"/>
          <w:sz w:val="16"/>
          <w:szCs w:val="16"/>
        </w:rPr>
        <w:tab/>
        <w:t xml:space="preserve">See Article 141 EU Financial Regulation </w:t>
      </w:r>
      <w:hyperlink r:id="rId2" w:history="1">
        <w:r>
          <w:rPr>
            <w:rStyle w:val="Hyperlink2"/>
          </w:rPr>
          <w:t>2018/1046</w:t>
        </w:r>
      </w:hyperlink>
      <w:r>
        <w:rPr>
          <w:rStyle w:val="None"/>
          <w:sz w:val="16"/>
          <w:szCs w:val="16"/>
        </w:rPr>
        <w:t>.</w:t>
      </w:r>
    </w:p>
  </w:footnote>
  <w:footnote w:id="6">
    <w:p w14:paraId="08B5EED5" w14:textId="77777777" w:rsidR="004D59E2" w:rsidRDefault="004D59E2">
      <w:pPr>
        <w:pStyle w:val="FootnoteText"/>
        <w:spacing w:after="0"/>
        <w:ind w:left="360" w:hanging="360"/>
      </w:pPr>
      <w:r>
        <w:rPr>
          <w:rStyle w:val="None"/>
          <w:position w:val="8"/>
          <w:vertAlign w:val="superscript"/>
        </w:rPr>
        <w:footnoteRef/>
      </w:r>
      <w:r>
        <w:rPr>
          <w:rStyle w:val="None"/>
          <w:sz w:val="16"/>
          <w:szCs w:val="16"/>
        </w:rPr>
        <w:t xml:space="preserve"> </w:t>
      </w:r>
      <w:r>
        <w:rPr>
          <w:rStyle w:val="None"/>
          <w:sz w:val="16"/>
          <w:szCs w:val="16"/>
        </w:rPr>
        <w:tab/>
        <w:t xml:space="preserve">Commission </w:t>
      </w:r>
      <w:hyperlink r:id="rId3" w:history="1">
        <w:r>
          <w:rPr>
            <w:rStyle w:val="Hyperlink3"/>
          </w:rPr>
          <w:t>Decision</w:t>
        </w:r>
      </w:hyperlink>
      <w:r>
        <w:rPr>
          <w:rStyle w:val="None"/>
          <w:sz w:val="16"/>
          <w:szCs w:val="16"/>
        </w:rPr>
        <w:t xml:space="preserve"> of 20 October 2020 </w:t>
      </w:r>
      <w:proofErr w:type="spellStart"/>
      <w:r>
        <w:rPr>
          <w:rStyle w:val="None"/>
          <w:sz w:val="16"/>
          <w:szCs w:val="16"/>
        </w:rPr>
        <w:t>authorising</w:t>
      </w:r>
      <w:proofErr w:type="spellEnd"/>
      <w:r>
        <w:rPr>
          <w:rStyle w:val="None"/>
          <w:sz w:val="16"/>
          <w:szCs w:val="16"/>
        </w:rPr>
        <w:t xml:space="preserve"> the use of unit costs for the personnel costs of the owners of small and medium-sized enterprises and beneficiaries that are natural persons not receiving a salary for the work carried out by themselves under an action or work </w:t>
      </w:r>
      <w:proofErr w:type="spellStart"/>
      <w:r>
        <w:rPr>
          <w:rStyle w:val="None"/>
          <w:sz w:val="16"/>
          <w:szCs w:val="16"/>
        </w:rPr>
        <w:t>programme</w:t>
      </w:r>
      <w:proofErr w:type="spellEnd"/>
      <w:r>
        <w:rPr>
          <w:rStyle w:val="None"/>
          <w:sz w:val="16"/>
          <w:szCs w:val="16"/>
        </w:rPr>
        <w:t xml:space="preserve"> (C(2020)7715).</w:t>
      </w:r>
    </w:p>
  </w:footnote>
  <w:footnote w:id="7">
    <w:p w14:paraId="4698177A" w14:textId="77777777" w:rsidR="004D59E2" w:rsidRDefault="004D59E2">
      <w:pPr>
        <w:pStyle w:val="FootnoteText"/>
        <w:spacing w:after="0"/>
        <w:ind w:left="360" w:hanging="360"/>
      </w:pPr>
      <w:r>
        <w:rPr>
          <w:rStyle w:val="None"/>
          <w:position w:val="8"/>
          <w:vertAlign w:val="superscript"/>
        </w:rPr>
        <w:footnoteRef/>
      </w:r>
      <w:r>
        <w:rPr>
          <w:rStyle w:val="None"/>
          <w:sz w:val="16"/>
          <w:szCs w:val="16"/>
        </w:rPr>
        <w:t xml:space="preserve"> </w:t>
      </w:r>
      <w:r>
        <w:rPr>
          <w:rStyle w:val="None"/>
          <w:sz w:val="16"/>
          <w:szCs w:val="16"/>
        </w:rPr>
        <w:tab/>
        <w:t xml:space="preserve">Commission </w:t>
      </w:r>
      <w:hyperlink r:id="rId4" w:history="1">
        <w:r>
          <w:rPr>
            <w:rStyle w:val="Hyperlink3"/>
          </w:rPr>
          <w:t>Decision</w:t>
        </w:r>
      </w:hyperlink>
      <w:r>
        <w:rPr>
          <w:rStyle w:val="None"/>
          <w:sz w:val="16"/>
          <w:szCs w:val="16"/>
        </w:rPr>
        <w:t xml:space="preserve"> of 12 January 2021 </w:t>
      </w:r>
      <w:proofErr w:type="spellStart"/>
      <w:r>
        <w:rPr>
          <w:rStyle w:val="None"/>
          <w:sz w:val="16"/>
          <w:szCs w:val="16"/>
        </w:rPr>
        <w:t>authorising</w:t>
      </w:r>
      <w:proofErr w:type="spellEnd"/>
      <w:r>
        <w:rPr>
          <w:rStyle w:val="None"/>
          <w:sz w:val="16"/>
          <w:szCs w:val="16"/>
        </w:rPr>
        <w:t xml:space="preserve"> the use of unit costs for travel, accommodation and subsistence costs under an action or work </w:t>
      </w:r>
      <w:proofErr w:type="spellStart"/>
      <w:r>
        <w:rPr>
          <w:rStyle w:val="None"/>
          <w:sz w:val="16"/>
          <w:szCs w:val="16"/>
        </w:rPr>
        <w:t>programme</w:t>
      </w:r>
      <w:proofErr w:type="spellEnd"/>
      <w:r>
        <w:rPr>
          <w:rStyle w:val="None"/>
          <w:sz w:val="16"/>
          <w:szCs w:val="16"/>
        </w:rPr>
        <w:t xml:space="preserve"> under the 2021-2027 multi-annual financial framework (C(2021)35).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5348" w14:textId="77777777" w:rsidR="007C020C" w:rsidRDefault="007C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347A" w14:textId="77777777" w:rsidR="004D59E2" w:rsidRDefault="004D59E2">
    <w:pPr>
      <w:pStyle w:val="Body"/>
      <w:tabs>
        <w:tab w:val="center" w:pos="4536"/>
        <w:tab w:val="right" w:pos="8704"/>
      </w:tabs>
      <w:spacing w:after="0"/>
      <w:rPr>
        <w:sz w:val="16"/>
        <w:szCs w:val="16"/>
      </w:rPr>
    </w:pPr>
    <w:r>
      <w:rPr>
        <w:sz w:val="16"/>
        <w:szCs w:val="16"/>
      </w:rPr>
      <w:t>Call: MOVE/C2/2022-54 "Technical Assistance for the development and collection of Road safety Key Performance Indicators (KPI)”</w:t>
    </w:r>
  </w:p>
  <w:p w14:paraId="762233CA" w14:textId="77777777" w:rsidR="004D59E2" w:rsidRDefault="004D59E2">
    <w:pPr>
      <w:pStyle w:val="Body"/>
      <w:tabs>
        <w:tab w:val="center" w:pos="4536"/>
        <w:tab w:val="right" w:pos="8704"/>
      </w:tabs>
      <w:spacing w:after="0" w:line="276" w:lineRule="auto"/>
      <w:rPr>
        <w:sz w:val="16"/>
        <w:szCs w:val="16"/>
      </w:rPr>
    </w:pPr>
  </w:p>
  <w:p w14:paraId="1929B5CF" w14:textId="77777777" w:rsidR="004D59E2" w:rsidRPr="00E26546" w:rsidRDefault="004D59E2">
    <w:pPr>
      <w:pStyle w:val="Body"/>
      <w:spacing w:after="0"/>
      <w:jc w:val="right"/>
      <w:rPr>
        <w:lang w:val="fr-BE"/>
      </w:rPr>
    </w:pPr>
    <w:r>
      <w:rPr>
        <w:color w:val="7F7F7F"/>
        <w:sz w:val="16"/>
        <w:szCs w:val="16"/>
        <w:u w:color="7F7F7F"/>
        <w:lang w:val="fr-FR"/>
      </w:rPr>
      <w:t>EU Grants</w:t>
    </w:r>
    <w:r>
      <w:rPr>
        <w:color w:val="808080"/>
        <w:sz w:val="16"/>
        <w:szCs w:val="16"/>
        <w:u w:color="808080"/>
        <w:lang w:val="fr-FR"/>
      </w:rPr>
      <w:t xml:space="preserve">: Call document </w:t>
    </w:r>
    <w:r>
      <w:rPr>
        <w:color w:val="7F7F7F"/>
        <w:sz w:val="16"/>
        <w:szCs w:val="16"/>
        <w:u w:color="7F7F7F"/>
        <w:lang w:val="fr-FR"/>
      </w:rPr>
      <w:t>(CEF)</w:t>
    </w:r>
    <w:r>
      <w:rPr>
        <w:color w:val="808080"/>
        <w:sz w:val="16"/>
        <w:szCs w:val="16"/>
        <w:u w:color="808080"/>
        <w:lang w:val="fr-FR"/>
      </w:rPr>
      <w:t>: V1.0 – dd.mm.2021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FEEE" w14:textId="77777777" w:rsidR="004D59E2" w:rsidRDefault="004D59E2">
    <w:pPr>
      <w:pStyle w:val="Header"/>
      <w:jc w:val="center"/>
    </w:pPr>
    <w:r>
      <w:rPr>
        <w:noProof/>
        <w:lang w:val="fr-BE" w:eastAsia="fr-BE"/>
      </w:rPr>
      <mc:AlternateContent>
        <mc:Choice Requires="wps">
          <w:drawing>
            <wp:anchor distT="152400" distB="152400" distL="152400" distR="152400" simplePos="0" relativeHeight="251658240" behindDoc="1" locked="0" layoutInCell="1" allowOverlap="1" wp14:anchorId="3507BB2F" wp14:editId="04A4C9F4">
              <wp:simplePos x="0" y="0"/>
              <wp:positionH relativeFrom="page">
                <wp:posOffset>3310254</wp:posOffset>
              </wp:positionH>
              <wp:positionV relativeFrom="page">
                <wp:posOffset>10404475</wp:posOffset>
              </wp:positionV>
              <wp:extent cx="842645" cy="288291"/>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842645" cy="288291"/>
                      </a:xfrm>
                      <a:prstGeom prst="rect">
                        <a:avLst/>
                      </a:prstGeom>
                      <a:solidFill>
                        <a:srgbClr val="004494"/>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style="visibility:visible;position:absolute;margin-left:260.6pt;margin-top:819.2pt;width:66.3pt;height:22.7pt;z-index:-251658240;mso-position-horizontal:absolute;mso-position-horizontal-relative:page;mso-position-vertical:absolute;mso-position-vertical-relative:page;mso-wrap-distance-left:12.0pt;mso-wrap-distance-top:12.0pt;mso-wrap-distance-right:12.0pt;mso-wrap-distance-bottom:12.0pt;">
              <v:fill color="#00449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fr-BE" w:eastAsia="fr-BE"/>
      </w:rPr>
      <w:drawing>
        <wp:inline distT="0" distB="0" distL="0" distR="0" wp14:anchorId="40E43AE1" wp14:editId="0EB3AE25">
          <wp:extent cx="1932305" cy="914400"/>
          <wp:effectExtent l="0" t="0" r="0" b="0"/>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932305" cy="914400"/>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4EF5" w14:textId="77777777" w:rsidR="004D59E2" w:rsidRDefault="004D59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FF8"/>
    <w:multiLevelType w:val="hybridMultilevel"/>
    <w:tmpl w:val="7EE4675E"/>
    <w:lvl w:ilvl="0" w:tplc="E170145A">
      <w:start w:val="1"/>
      <w:numFmt w:val="bullet"/>
      <w:lvlText w:val="▪"/>
      <w:lvlJc w:val="left"/>
      <w:pPr>
        <w:tabs>
          <w:tab w:val="right" w:pos="8704"/>
        </w:tabs>
        <w:ind w:left="3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40CE70">
      <w:start w:val="1"/>
      <w:numFmt w:val="bullet"/>
      <w:lvlText w:val="o"/>
      <w:lvlJc w:val="left"/>
      <w:pPr>
        <w:tabs>
          <w:tab w:val="left" w:pos="318"/>
          <w:tab w:val="right" w:pos="8704"/>
        </w:tabs>
        <w:ind w:left="1038"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48E470">
      <w:start w:val="1"/>
      <w:numFmt w:val="bullet"/>
      <w:lvlText w:val="▪"/>
      <w:lvlJc w:val="left"/>
      <w:pPr>
        <w:tabs>
          <w:tab w:val="left" w:pos="318"/>
          <w:tab w:val="right" w:pos="8704"/>
        </w:tabs>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EFB70">
      <w:start w:val="1"/>
      <w:numFmt w:val="bullet"/>
      <w:lvlText w:val="•"/>
      <w:lvlJc w:val="left"/>
      <w:pPr>
        <w:tabs>
          <w:tab w:val="left" w:pos="318"/>
          <w:tab w:val="right" w:pos="8704"/>
        </w:tabs>
        <w:ind w:left="24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6EED20">
      <w:start w:val="1"/>
      <w:numFmt w:val="bullet"/>
      <w:lvlText w:val="o"/>
      <w:lvlJc w:val="left"/>
      <w:pPr>
        <w:tabs>
          <w:tab w:val="left" w:pos="318"/>
          <w:tab w:val="right" w:pos="8704"/>
        </w:tabs>
        <w:ind w:left="3198"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608CD92">
      <w:start w:val="1"/>
      <w:numFmt w:val="bullet"/>
      <w:lvlText w:val="▪"/>
      <w:lvlJc w:val="left"/>
      <w:pPr>
        <w:tabs>
          <w:tab w:val="left" w:pos="318"/>
          <w:tab w:val="right" w:pos="8704"/>
        </w:tabs>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E46B1E">
      <w:start w:val="1"/>
      <w:numFmt w:val="bullet"/>
      <w:lvlText w:val="•"/>
      <w:lvlJc w:val="left"/>
      <w:pPr>
        <w:tabs>
          <w:tab w:val="left" w:pos="318"/>
          <w:tab w:val="right" w:pos="8704"/>
        </w:tabs>
        <w:ind w:left="46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D660CC">
      <w:start w:val="1"/>
      <w:numFmt w:val="bullet"/>
      <w:lvlText w:val="o"/>
      <w:lvlJc w:val="left"/>
      <w:pPr>
        <w:tabs>
          <w:tab w:val="left" w:pos="318"/>
          <w:tab w:val="right" w:pos="8704"/>
        </w:tabs>
        <w:ind w:left="5358"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AFEF60A">
      <w:start w:val="1"/>
      <w:numFmt w:val="bullet"/>
      <w:lvlText w:val="▪"/>
      <w:lvlJc w:val="left"/>
      <w:pPr>
        <w:tabs>
          <w:tab w:val="left" w:pos="318"/>
          <w:tab w:val="right" w:pos="8704"/>
        </w:tabs>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DE73A4"/>
    <w:multiLevelType w:val="hybridMultilevel"/>
    <w:tmpl w:val="4F4EBA24"/>
    <w:styleLink w:val="ImportedStyle15"/>
    <w:lvl w:ilvl="0" w:tplc="7C4E1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9897A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165A72">
      <w:start w:val="1"/>
      <w:numFmt w:val="bullet"/>
      <w:lvlText w:val="▪"/>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D8F77A">
      <w:start w:val="1"/>
      <w:numFmt w:val="bullet"/>
      <w:lvlText w:val="·"/>
      <w:lvlJc w:val="left"/>
      <w:pPr>
        <w:ind w:left="243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28D73C">
      <w:start w:val="1"/>
      <w:numFmt w:val="bullet"/>
      <w:lvlText w:val="o"/>
      <w:lvlJc w:val="left"/>
      <w:pPr>
        <w:ind w:left="315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8ECBE4">
      <w:start w:val="1"/>
      <w:numFmt w:val="bullet"/>
      <w:lvlText w:val="▪"/>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1A1418">
      <w:start w:val="1"/>
      <w:numFmt w:val="bullet"/>
      <w:lvlText w:val="·"/>
      <w:lvlJc w:val="left"/>
      <w:pPr>
        <w:ind w:left="459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E6E8BE">
      <w:start w:val="1"/>
      <w:numFmt w:val="bullet"/>
      <w:lvlText w:val="o"/>
      <w:lvlJc w:val="left"/>
      <w:pPr>
        <w:ind w:left="531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F2713E">
      <w:start w:val="1"/>
      <w:numFmt w:val="bullet"/>
      <w:lvlText w:val="▪"/>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1F231C"/>
    <w:multiLevelType w:val="hybridMultilevel"/>
    <w:tmpl w:val="6546C7B2"/>
    <w:styleLink w:val="ImportedStyle20"/>
    <w:lvl w:ilvl="0" w:tplc="B288A696">
      <w:start w:val="1"/>
      <w:numFmt w:val="bullet"/>
      <w:lvlText w:val="o"/>
      <w:lvlJc w:val="left"/>
      <w:pPr>
        <w:ind w:left="1134"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1" w:tplc="56C8C8EE">
      <w:start w:val="1"/>
      <w:numFmt w:val="bullet"/>
      <w:lvlText w:val="o"/>
      <w:lvlJc w:val="left"/>
      <w:pPr>
        <w:ind w:left="110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2" w:tplc="058C3C26">
      <w:start w:val="1"/>
      <w:numFmt w:val="bullet"/>
      <w:lvlText w:val="o"/>
      <w:lvlJc w:val="left"/>
      <w:pPr>
        <w:ind w:left="182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3" w:tplc="EA0C5F1E">
      <w:start w:val="1"/>
      <w:numFmt w:val="bullet"/>
      <w:lvlText w:val="o"/>
      <w:lvlJc w:val="left"/>
      <w:pPr>
        <w:ind w:left="254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4" w:tplc="8F841CBE">
      <w:start w:val="1"/>
      <w:numFmt w:val="bullet"/>
      <w:lvlText w:val="o"/>
      <w:lvlJc w:val="left"/>
      <w:pPr>
        <w:ind w:left="326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5" w:tplc="03D41672">
      <w:start w:val="1"/>
      <w:numFmt w:val="bullet"/>
      <w:lvlText w:val="o"/>
      <w:lvlJc w:val="left"/>
      <w:pPr>
        <w:ind w:left="398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6" w:tplc="62D27F68">
      <w:start w:val="1"/>
      <w:numFmt w:val="bullet"/>
      <w:lvlText w:val="o"/>
      <w:lvlJc w:val="left"/>
      <w:pPr>
        <w:ind w:left="470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7" w:tplc="390254C0">
      <w:start w:val="1"/>
      <w:numFmt w:val="bullet"/>
      <w:lvlText w:val="o"/>
      <w:lvlJc w:val="left"/>
      <w:pPr>
        <w:ind w:left="542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lvl w:ilvl="8" w:tplc="A89CD36A">
      <w:start w:val="1"/>
      <w:numFmt w:val="bullet"/>
      <w:lvlText w:val="o"/>
      <w:lvlJc w:val="left"/>
      <w:pPr>
        <w:ind w:left="6140" w:hanging="380"/>
      </w:pPr>
      <w:rPr>
        <w:rFonts w:ascii="Courier New" w:eastAsia="Courier New" w:hAnsi="Courier New" w:cs="Courier New"/>
        <w:b w:val="0"/>
        <w:bCs w:val="0"/>
        <w:i w:val="0"/>
        <w:iCs w:val="0"/>
        <w:caps w:val="0"/>
        <w:smallCaps w:val="0"/>
        <w:strike w:val="0"/>
        <w:dstrike w:val="0"/>
        <w:outline w:val="0"/>
        <w:emboss w:val="0"/>
        <w:imprint w:val="0"/>
        <w:color w:val="595959"/>
        <w:spacing w:val="0"/>
        <w:w w:val="100"/>
        <w:kern w:val="0"/>
        <w:position w:val="0"/>
        <w:sz w:val="22"/>
        <w:szCs w:val="22"/>
        <w:highlight w:val="none"/>
        <w:vertAlign w:val="baseline"/>
      </w:rPr>
    </w:lvl>
  </w:abstractNum>
  <w:abstractNum w:abstractNumId="3" w15:restartNumberingAfterBreak="0">
    <w:nsid w:val="0FF2700F"/>
    <w:multiLevelType w:val="hybridMultilevel"/>
    <w:tmpl w:val="C554B33C"/>
    <w:numStyleLink w:val="ImportedStyle12"/>
  </w:abstractNum>
  <w:abstractNum w:abstractNumId="4" w15:restartNumberingAfterBreak="0">
    <w:nsid w:val="12C30207"/>
    <w:multiLevelType w:val="hybridMultilevel"/>
    <w:tmpl w:val="DC6EF7EA"/>
    <w:numStyleLink w:val="ImportedStyle8"/>
  </w:abstractNum>
  <w:abstractNum w:abstractNumId="5" w15:restartNumberingAfterBreak="0">
    <w:nsid w:val="163C3D63"/>
    <w:multiLevelType w:val="hybridMultilevel"/>
    <w:tmpl w:val="93A810DE"/>
    <w:numStyleLink w:val="ImportedStyle18"/>
  </w:abstractNum>
  <w:abstractNum w:abstractNumId="6" w15:restartNumberingAfterBreak="0">
    <w:nsid w:val="16AE3D14"/>
    <w:multiLevelType w:val="hybridMultilevel"/>
    <w:tmpl w:val="F0826374"/>
    <w:styleLink w:val="ImportedStyle11"/>
    <w:lvl w:ilvl="0" w:tplc="DBBA0B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78C3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52394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32EF8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92E21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0A71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6A64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E169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D6805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F9071D"/>
    <w:multiLevelType w:val="hybridMultilevel"/>
    <w:tmpl w:val="4F4EBA24"/>
    <w:numStyleLink w:val="ImportedStyle15"/>
  </w:abstractNum>
  <w:abstractNum w:abstractNumId="8" w15:restartNumberingAfterBreak="0">
    <w:nsid w:val="17944917"/>
    <w:multiLevelType w:val="hybridMultilevel"/>
    <w:tmpl w:val="93A810DE"/>
    <w:styleLink w:val="ImportedStyle18"/>
    <w:lvl w:ilvl="0" w:tplc="6F3237B4">
      <w:start w:val="1"/>
      <w:numFmt w:val="bullet"/>
      <w:lvlText w:val="·"/>
      <w:lvlJc w:val="left"/>
      <w:pPr>
        <w:ind w:left="567" w:hanging="44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1" w:tplc="47A60A86">
      <w:start w:val="1"/>
      <w:numFmt w:val="bullet"/>
      <w:lvlText w:val="o"/>
      <w:lvlJc w:val="left"/>
      <w:pPr>
        <w:ind w:left="128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2" w:tplc="1E8436F4">
      <w:start w:val="1"/>
      <w:numFmt w:val="bullet"/>
      <w:lvlText w:val="▪"/>
      <w:lvlJc w:val="left"/>
      <w:pPr>
        <w:ind w:left="200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3" w:tplc="BFC8F3D6">
      <w:start w:val="1"/>
      <w:numFmt w:val="bullet"/>
      <w:lvlText w:val="·"/>
      <w:lvlJc w:val="left"/>
      <w:pPr>
        <w:ind w:left="2727" w:hanging="44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4" w:tplc="EF5AE942">
      <w:start w:val="1"/>
      <w:numFmt w:val="bullet"/>
      <w:lvlText w:val="o"/>
      <w:lvlJc w:val="left"/>
      <w:pPr>
        <w:ind w:left="344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5" w:tplc="47B2CBF2">
      <w:start w:val="1"/>
      <w:numFmt w:val="bullet"/>
      <w:lvlText w:val="▪"/>
      <w:lvlJc w:val="left"/>
      <w:pPr>
        <w:ind w:left="416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6" w:tplc="A890258A">
      <w:start w:val="1"/>
      <w:numFmt w:val="bullet"/>
      <w:lvlText w:val="·"/>
      <w:lvlJc w:val="left"/>
      <w:pPr>
        <w:ind w:left="4887" w:hanging="44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7" w:tplc="AA227900">
      <w:start w:val="1"/>
      <w:numFmt w:val="bullet"/>
      <w:lvlText w:val="o"/>
      <w:lvlJc w:val="left"/>
      <w:pPr>
        <w:ind w:left="560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8" w:tplc="643E25CC">
      <w:start w:val="1"/>
      <w:numFmt w:val="bullet"/>
      <w:lvlText w:val="▪"/>
      <w:lvlJc w:val="left"/>
      <w:pPr>
        <w:ind w:left="6327" w:hanging="44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abstractNum>
  <w:abstractNum w:abstractNumId="9" w15:restartNumberingAfterBreak="0">
    <w:nsid w:val="1DA73910"/>
    <w:multiLevelType w:val="hybridMultilevel"/>
    <w:tmpl w:val="6546C7B2"/>
    <w:numStyleLink w:val="ImportedStyle20"/>
  </w:abstractNum>
  <w:abstractNum w:abstractNumId="10" w15:restartNumberingAfterBreak="0">
    <w:nsid w:val="23A9417C"/>
    <w:multiLevelType w:val="hybridMultilevel"/>
    <w:tmpl w:val="C99E5C38"/>
    <w:numStyleLink w:val="ImportedStyle14"/>
  </w:abstractNum>
  <w:abstractNum w:abstractNumId="11" w15:restartNumberingAfterBreak="0">
    <w:nsid w:val="256E147A"/>
    <w:multiLevelType w:val="hybridMultilevel"/>
    <w:tmpl w:val="5EB483BA"/>
    <w:styleLink w:val="ImportedStyle4"/>
    <w:lvl w:ilvl="0" w:tplc="F8903FA6">
      <w:start w:val="1"/>
      <w:numFmt w:val="bullet"/>
      <w:lvlText w:val="-"/>
      <w:lvlJc w:val="left"/>
      <w:pPr>
        <w:ind w:left="56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48C57C">
      <w:start w:val="1"/>
      <w:numFmt w:val="bullet"/>
      <w:lvlText w:val="o"/>
      <w:lvlJc w:val="left"/>
      <w:pPr>
        <w:ind w:left="128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649D9C">
      <w:start w:val="1"/>
      <w:numFmt w:val="bullet"/>
      <w:lvlText w:val="▪"/>
      <w:lvlJc w:val="left"/>
      <w:pPr>
        <w:ind w:left="200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D0881C">
      <w:start w:val="1"/>
      <w:numFmt w:val="bullet"/>
      <w:lvlText w:val="·"/>
      <w:lvlJc w:val="left"/>
      <w:pPr>
        <w:ind w:left="272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98B784">
      <w:start w:val="1"/>
      <w:numFmt w:val="bullet"/>
      <w:lvlText w:val="o"/>
      <w:lvlJc w:val="left"/>
      <w:pPr>
        <w:ind w:left="344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2AB798">
      <w:start w:val="1"/>
      <w:numFmt w:val="bullet"/>
      <w:lvlText w:val="▪"/>
      <w:lvlJc w:val="left"/>
      <w:pPr>
        <w:ind w:left="416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8CF610">
      <w:start w:val="1"/>
      <w:numFmt w:val="bullet"/>
      <w:lvlText w:val="·"/>
      <w:lvlJc w:val="left"/>
      <w:pPr>
        <w:ind w:left="488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003740">
      <w:start w:val="1"/>
      <w:numFmt w:val="bullet"/>
      <w:lvlText w:val="o"/>
      <w:lvlJc w:val="left"/>
      <w:pPr>
        <w:ind w:left="560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C86358">
      <w:start w:val="1"/>
      <w:numFmt w:val="bullet"/>
      <w:lvlText w:val="▪"/>
      <w:lvlJc w:val="left"/>
      <w:pPr>
        <w:ind w:left="6328"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F197DFD"/>
    <w:multiLevelType w:val="hybridMultilevel"/>
    <w:tmpl w:val="4D8A2290"/>
    <w:numStyleLink w:val="ImportedStyle19"/>
  </w:abstractNum>
  <w:abstractNum w:abstractNumId="13" w15:restartNumberingAfterBreak="0">
    <w:nsid w:val="2FCB4424"/>
    <w:multiLevelType w:val="hybridMultilevel"/>
    <w:tmpl w:val="C99E5C38"/>
    <w:styleLink w:val="ImportedStyle14"/>
    <w:lvl w:ilvl="0" w:tplc="38C66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060D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69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AC1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982E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8CC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C87F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481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5476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0723C15"/>
    <w:multiLevelType w:val="hybridMultilevel"/>
    <w:tmpl w:val="3170E0C2"/>
    <w:numStyleLink w:val="ImportedStyle6"/>
  </w:abstractNum>
  <w:abstractNum w:abstractNumId="15" w15:restartNumberingAfterBreak="0">
    <w:nsid w:val="347A6201"/>
    <w:multiLevelType w:val="hybridMultilevel"/>
    <w:tmpl w:val="A048595E"/>
    <w:numStyleLink w:val="ImportedStyle7"/>
  </w:abstractNum>
  <w:abstractNum w:abstractNumId="16" w15:restartNumberingAfterBreak="0">
    <w:nsid w:val="362601FF"/>
    <w:multiLevelType w:val="hybridMultilevel"/>
    <w:tmpl w:val="9BE408F0"/>
    <w:styleLink w:val="ImportedStyle16"/>
    <w:lvl w:ilvl="0" w:tplc="4118B4E6">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336A0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74ED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3E98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22F69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645A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9296C6">
      <w:start w:val="1"/>
      <w:numFmt w:val="bullet"/>
      <w:lvlText w:val="·"/>
      <w:lvlJc w:val="left"/>
      <w:pPr>
        <w:ind w:left="6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14619C">
      <w:start w:val="1"/>
      <w:numFmt w:val="bullet"/>
      <w:lvlText w:val="o"/>
      <w:lvlJc w:val="left"/>
      <w:pPr>
        <w:ind w:left="13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CEAF6E">
      <w:start w:val="1"/>
      <w:numFmt w:val="bullet"/>
      <w:lvlText w:val="▪"/>
      <w:lvlJc w:val="left"/>
      <w:pPr>
        <w:ind w:left="21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FA4111"/>
    <w:multiLevelType w:val="hybridMultilevel"/>
    <w:tmpl w:val="63CC2862"/>
    <w:numStyleLink w:val="ImportedStyle13"/>
  </w:abstractNum>
  <w:abstractNum w:abstractNumId="18" w15:restartNumberingAfterBreak="0">
    <w:nsid w:val="41BD2FC3"/>
    <w:multiLevelType w:val="hybridMultilevel"/>
    <w:tmpl w:val="00E0EF96"/>
    <w:styleLink w:val="ImportedStyle9"/>
    <w:lvl w:ilvl="0" w:tplc="CC8E1366">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75C00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1CA3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6060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AE8C2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8CE3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14DFD0">
      <w:start w:val="1"/>
      <w:numFmt w:val="bullet"/>
      <w:lvlText w:val="·"/>
      <w:lvlJc w:val="left"/>
      <w:pPr>
        <w:ind w:left="6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072C2">
      <w:start w:val="1"/>
      <w:numFmt w:val="bullet"/>
      <w:lvlText w:val="o"/>
      <w:lvlJc w:val="left"/>
      <w:pPr>
        <w:ind w:left="13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1259FC">
      <w:start w:val="1"/>
      <w:numFmt w:val="bullet"/>
      <w:lvlText w:val="▪"/>
      <w:lvlJc w:val="left"/>
      <w:pPr>
        <w:ind w:left="21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4F82CE4"/>
    <w:multiLevelType w:val="hybridMultilevel"/>
    <w:tmpl w:val="C786D554"/>
    <w:styleLink w:val="ImportedStyle17"/>
    <w:lvl w:ilvl="0" w:tplc="A2984946">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CA633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3ABA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B6EB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820C2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3E93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26C6CA">
      <w:start w:val="1"/>
      <w:numFmt w:val="bullet"/>
      <w:lvlText w:val="·"/>
      <w:lvlJc w:val="left"/>
      <w:pPr>
        <w:ind w:left="6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242048">
      <w:start w:val="1"/>
      <w:numFmt w:val="bullet"/>
      <w:lvlText w:val="o"/>
      <w:lvlJc w:val="left"/>
      <w:pPr>
        <w:ind w:left="13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D6E434">
      <w:start w:val="1"/>
      <w:numFmt w:val="bullet"/>
      <w:lvlText w:val="▪"/>
      <w:lvlJc w:val="left"/>
      <w:pPr>
        <w:ind w:left="21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519074B"/>
    <w:multiLevelType w:val="hybridMultilevel"/>
    <w:tmpl w:val="DC6EF7EA"/>
    <w:styleLink w:val="ImportedStyle8"/>
    <w:lvl w:ilvl="0" w:tplc="8CEE2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CD089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F21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FE28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A40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62B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60B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D4C9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E221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91144BF"/>
    <w:multiLevelType w:val="hybridMultilevel"/>
    <w:tmpl w:val="36F48292"/>
    <w:styleLink w:val="ImportedStyle10"/>
    <w:lvl w:ilvl="0" w:tplc="AE6864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0BB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4ECD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EA09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38A8BC">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F6643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E8E93E">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24C">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8D54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297EC6"/>
    <w:multiLevelType w:val="hybridMultilevel"/>
    <w:tmpl w:val="BA58652E"/>
    <w:numStyleLink w:val="ImportedStyle5"/>
  </w:abstractNum>
  <w:abstractNum w:abstractNumId="23" w15:restartNumberingAfterBreak="0">
    <w:nsid w:val="4B4F4B00"/>
    <w:multiLevelType w:val="hybridMultilevel"/>
    <w:tmpl w:val="36F48292"/>
    <w:numStyleLink w:val="ImportedStyle10"/>
  </w:abstractNum>
  <w:abstractNum w:abstractNumId="24" w15:restartNumberingAfterBreak="0">
    <w:nsid w:val="4F890E2E"/>
    <w:multiLevelType w:val="hybridMultilevel"/>
    <w:tmpl w:val="5EB483BA"/>
    <w:numStyleLink w:val="ImportedStyle4"/>
  </w:abstractNum>
  <w:abstractNum w:abstractNumId="25" w15:restartNumberingAfterBreak="0">
    <w:nsid w:val="50593190"/>
    <w:multiLevelType w:val="hybridMultilevel"/>
    <w:tmpl w:val="4D8A2290"/>
    <w:styleLink w:val="ImportedStyle19"/>
    <w:lvl w:ilvl="0" w:tplc="42F4FF84">
      <w:start w:val="1"/>
      <w:numFmt w:val="bullet"/>
      <w:lvlText w:val="·"/>
      <w:lvlJc w:val="left"/>
      <w:pPr>
        <w:ind w:left="567" w:hanging="42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1" w:tplc="29FE413C">
      <w:start w:val="1"/>
      <w:numFmt w:val="bullet"/>
      <w:lvlText w:val="o"/>
      <w:lvlJc w:val="left"/>
      <w:pPr>
        <w:ind w:left="128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2" w:tplc="273CB230">
      <w:start w:val="1"/>
      <w:numFmt w:val="bullet"/>
      <w:lvlText w:val="▪"/>
      <w:lvlJc w:val="left"/>
      <w:pPr>
        <w:ind w:left="200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3" w:tplc="68FC261E">
      <w:start w:val="1"/>
      <w:numFmt w:val="bullet"/>
      <w:lvlText w:val="·"/>
      <w:lvlJc w:val="left"/>
      <w:pPr>
        <w:ind w:left="2727" w:hanging="42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4" w:tplc="A29EFED6">
      <w:start w:val="1"/>
      <w:numFmt w:val="bullet"/>
      <w:lvlText w:val="o"/>
      <w:lvlJc w:val="left"/>
      <w:pPr>
        <w:ind w:left="344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5" w:tplc="20C0D9EE">
      <w:start w:val="1"/>
      <w:numFmt w:val="bullet"/>
      <w:lvlText w:val="▪"/>
      <w:lvlJc w:val="left"/>
      <w:pPr>
        <w:ind w:left="416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6" w:tplc="139EDCC6">
      <w:start w:val="1"/>
      <w:numFmt w:val="bullet"/>
      <w:lvlText w:val="·"/>
      <w:lvlJc w:val="left"/>
      <w:pPr>
        <w:ind w:left="4887" w:hanging="42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7" w:tplc="2018A1BC">
      <w:start w:val="1"/>
      <w:numFmt w:val="bullet"/>
      <w:lvlText w:val="o"/>
      <w:lvlJc w:val="left"/>
      <w:pPr>
        <w:ind w:left="560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8" w:tplc="3E64EB66">
      <w:start w:val="1"/>
      <w:numFmt w:val="bullet"/>
      <w:lvlText w:val="▪"/>
      <w:lvlJc w:val="left"/>
      <w:pPr>
        <w:ind w:left="6327" w:hanging="42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abstractNum>
  <w:abstractNum w:abstractNumId="26" w15:restartNumberingAfterBreak="0">
    <w:nsid w:val="531D4FBA"/>
    <w:multiLevelType w:val="hybridMultilevel"/>
    <w:tmpl w:val="A048595E"/>
    <w:styleLink w:val="ImportedStyle7"/>
    <w:lvl w:ilvl="0" w:tplc="EAB26F9A">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90A05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3AF1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9E13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140D0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043B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580780">
      <w:start w:val="1"/>
      <w:numFmt w:val="bullet"/>
      <w:lvlText w:val="·"/>
      <w:lvlJc w:val="left"/>
      <w:pPr>
        <w:ind w:left="6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D857CC">
      <w:start w:val="1"/>
      <w:numFmt w:val="bullet"/>
      <w:lvlText w:val="o"/>
      <w:lvlJc w:val="left"/>
      <w:pPr>
        <w:ind w:left="13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C830A2">
      <w:start w:val="1"/>
      <w:numFmt w:val="bullet"/>
      <w:lvlText w:val="▪"/>
      <w:lvlJc w:val="left"/>
      <w:pPr>
        <w:ind w:left="21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3983AE7"/>
    <w:multiLevelType w:val="hybridMultilevel"/>
    <w:tmpl w:val="BA58652E"/>
    <w:styleLink w:val="ImportedStyle5"/>
    <w:lvl w:ilvl="0" w:tplc="2D40768A">
      <w:start w:val="1"/>
      <w:numFmt w:val="bullet"/>
      <w:lvlText w:val="•"/>
      <w:lvlJc w:val="left"/>
      <w:pPr>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DF0E1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1CA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E37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F0F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203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06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E60E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08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528295F"/>
    <w:multiLevelType w:val="hybridMultilevel"/>
    <w:tmpl w:val="F0826374"/>
    <w:numStyleLink w:val="ImportedStyle11"/>
  </w:abstractNum>
  <w:abstractNum w:abstractNumId="29" w15:restartNumberingAfterBreak="0">
    <w:nsid w:val="57577150"/>
    <w:multiLevelType w:val="hybridMultilevel"/>
    <w:tmpl w:val="C554B33C"/>
    <w:styleLink w:val="ImportedStyle12"/>
    <w:lvl w:ilvl="0" w:tplc="A8843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C5724A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6C64ADE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1C9877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38C651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AE466A2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30E2D7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65EA3D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5964AC3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30" w15:restartNumberingAfterBreak="0">
    <w:nsid w:val="5CB13DE8"/>
    <w:multiLevelType w:val="hybridMultilevel"/>
    <w:tmpl w:val="63CC2862"/>
    <w:styleLink w:val="ImportedStyle13"/>
    <w:lvl w:ilvl="0" w:tplc="8528E4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2EE9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68D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81F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A0A3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024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643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E4E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AE6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9B066E"/>
    <w:multiLevelType w:val="hybridMultilevel"/>
    <w:tmpl w:val="C786D554"/>
    <w:numStyleLink w:val="ImportedStyle17"/>
  </w:abstractNum>
  <w:abstractNum w:abstractNumId="32" w15:restartNumberingAfterBreak="0">
    <w:nsid w:val="5FC12ABA"/>
    <w:multiLevelType w:val="hybridMultilevel"/>
    <w:tmpl w:val="9BE408F0"/>
    <w:numStyleLink w:val="ImportedStyle16"/>
  </w:abstractNum>
  <w:abstractNum w:abstractNumId="33" w15:restartNumberingAfterBreak="0">
    <w:nsid w:val="6F2F29D2"/>
    <w:multiLevelType w:val="hybridMultilevel"/>
    <w:tmpl w:val="3170E0C2"/>
    <w:styleLink w:val="ImportedStyle6"/>
    <w:lvl w:ilvl="0" w:tplc="37B80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AC542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18884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0F087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42943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021AC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B67D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1C6A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28089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DE3BBE"/>
    <w:multiLevelType w:val="hybridMultilevel"/>
    <w:tmpl w:val="00E0EF96"/>
    <w:numStyleLink w:val="ImportedStyle9"/>
  </w:abstractNum>
  <w:num w:numId="1">
    <w:abstractNumId w:val="0"/>
  </w:num>
  <w:num w:numId="2">
    <w:abstractNumId w:val="11"/>
  </w:num>
  <w:num w:numId="3">
    <w:abstractNumId w:val="24"/>
  </w:num>
  <w:num w:numId="4">
    <w:abstractNumId w:val="27"/>
  </w:num>
  <w:num w:numId="5">
    <w:abstractNumId w:val="22"/>
  </w:num>
  <w:num w:numId="6">
    <w:abstractNumId w:val="33"/>
  </w:num>
  <w:num w:numId="7">
    <w:abstractNumId w:val="14"/>
  </w:num>
  <w:num w:numId="8">
    <w:abstractNumId w:val="26"/>
  </w:num>
  <w:num w:numId="9">
    <w:abstractNumId w:val="15"/>
  </w:num>
  <w:num w:numId="10">
    <w:abstractNumId w:val="15"/>
    <w:lvlOverride w:ilvl="0">
      <w:lvl w:ilvl="0" w:tplc="9B5CC406">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8F3A4B80">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12E6B80">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CEC081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8420E7E">
        <w:start w:val="1"/>
        <w:numFmt w:val="bullet"/>
        <w:lvlText w:val="o"/>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AA3FEA">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ECBBEC">
        <w:start w:val="1"/>
        <w:numFmt w:val="bullet"/>
        <w:lvlText w:val="·"/>
        <w:lvlJc w:val="left"/>
        <w:pPr>
          <w:ind w:left="66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FC33CC">
        <w:start w:val="1"/>
        <w:numFmt w:val="bullet"/>
        <w:lvlText w:val="o"/>
        <w:lvlJc w:val="left"/>
        <w:pPr>
          <w:ind w:left="138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99C9024">
        <w:start w:val="1"/>
        <w:numFmt w:val="bullet"/>
        <w:lvlText w:val="▪"/>
        <w:lvlJc w:val="left"/>
        <w:pPr>
          <w:ind w:left="210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0"/>
  </w:num>
  <w:num w:numId="12">
    <w:abstractNumId w:val="4"/>
  </w:num>
  <w:num w:numId="13">
    <w:abstractNumId w:val="4"/>
    <w:lvlOverride w:ilvl="0">
      <w:lvl w:ilvl="0" w:tplc="1C0AF85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E5707D0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F0F7F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D6E3C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C169B2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62920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0E264E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EA33B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59A451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8"/>
  </w:num>
  <w:num w:numId="15">
    <w:abstractNumId w:val="34"/>
  </w:num>
  <w:num w:numId="16">
    <w:abstractNumId w:val="21"/>
  </w:num>
  <w:num w:numId="17">
    <w:abstractNumId w:val="23"/>
  </w:num>
  <w:num w:numId="18">
    <w:abstractNumId w:val="6"/>
  </w:num>
  <w:num w:numId="19">
    <w:abstractNumId w:val="28"/>
  </w:num>
  <w:num w:numId="20">
    <w:abstractNumId w:val="23"/>
    <w:lvlOverride w:ilvl="0">
      <w:lvl w:ilvl="0" w:tplc="D59A08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2ACB98">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38FFC4">
        <w:start w:val="1"/>
        <w:numFmt w:val="bullet"/>
        <w:lvlText w:val="▪"/>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67C6C">
        <w:start w:val="1"/>
        <w:numFmt w:val="bullet"/>
        <w:lvlText w:val="-"/>
        <w:lvlJc w:val="left"/>
        <w:pPr>
          <w:ind w:left="21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1698A2">
        <w:start w:val="1"/>
        <w:numFmt w:val="bullet"/>
        <w:lvlText w:val="o"/>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FC7724">
        <w:start w:val="1"/>
        <w:numFmt w:val="bullet"/>
        <w:lvlText w:val="▪"/>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C2B0AA">
        <w:start w:val="1"/>
        <w:numFmt w:val="bullet"/>
        <w:lvlText w:val="·"/>
        <w:lvlJc w:val="left"/>
        <w:pPr>
          <w:ind w:left="43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A4B59C">
        <w:start w:val="1"/>
        <w:numFmt w:val="bullet"/>
        <w:lvlText w:val="o"/>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3670D2">
        <w:start w:val="1"/>
        <w:numFmt w:val="bullet"/>
        <w:lvlText w:val="▪"/>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9"/>
  </w:num>
  <w:num w:numId="22">
    <w:abstractNumId w:val="3"/>
  </w:num>
  <w:num w:numId="23">
    <w:abstractNumId w:val="30"/>
  </w:num>
  <w:num w:numId="24">
    <w:abstractNumId w:val="17"/>
  </w:num>
  <w:num w:numId="25">
    <w:abstractNumId w:val="13"/>
  </w:num>
  <w:num w:numId="26">
    <w:abstractNumId w:val="10"/>
  </w:num>
  <w:num w:numId="27">
    <w:abstractNumId w:val="1"/>
  </w:num>
  <w:num w:numId="28">
    <w:abstractNumId w:val="7"/>
  </w:num>
  <w:num w:numId="29">
    <w:abstractNumId w:val="10"/>
    <w:lvlOverride w:ilvl="0">
      <w:lvl w:ilvl="0" w:tplc="950A4A70">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149BF2">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54EF738">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4E6E9A">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5E7C3A">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50D4FE">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618894A">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1CCBA0">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58E4EE">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6"/>
  </w:num>
  <w:num w:numId="31">
    <w:abstractNumId w:val="32"/>
  </w:num>
  <w:num w:numId="32">
    <w:abstractNumId w:val="19"/>
  </w:num>
  <w:num w:numId="33">
    <w:abstractNumId w:val="31"/>
  </w:num>
  <w:num w:numId="34">
    <w:abstractNumId w:val="32"/>
    <w:lvlOverride w:ilvl="0">
      <w:lvl w:ilvl="0" w:tplc="BB2048E8">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77CA16F2">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26BDDE">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638AF3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267CA">
        <w:start w:val="1"/>
        <w:numFmt w:val="bullet"/>
        <w:lvlText w:val="o"/>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0AC02">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CB44336">
        <w:start w:val="1"/>
        <w:numFmt w:val="bullet"/>
        <w:lvlText w:val="·"/>
        <w:lvlJc w:val="left"/>
        <w:pPr>
          <w:ind w:left="66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30E0E2">
        <w:start w:val="1"/>
        <w:numFmt w:val="bullet"/>
        <w:lvlText w:val="o"/>
        <w:lvlJc w:val="left"/>
        <w:pPr>
          <w:ind w:left="138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DAF722">
        <w:start w:val="1"/>
        <w:numFmt w:val="bullet"/>
        <w:lvlText w:val="▪"/>
        <w:lvlJc w:val="left"/>
        <w:pPr>
          <w:ind w:left="210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8"/>
  </w:num>
  <w:num w:numId="36">
    <w:abstractNumId w:val="5"/>
  </w:num>
  <w:num w:numId="37">
    <w:abstractNumId w:val="5"/>
    <w:lvlOverride w:ilvl="0">
      <w:lvl w:ilvl="0" w:tplc="6BF4D8EA">
        <w:start w:val="1"/>
        <w:numFmt w:val="bullet"/>
        <w:lvlText w:val="·"/>
        <w:lvlJc w:val="left"/>
        <w:pPr>
          <w:ind w:left="517" w:hanging="39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1">
      <w:lvl w:ilvl="1" w:tplc="18B2BD88">
        <w:start w:val="1"/>
        <w:numFmt w:val="bullet"/>
        <w:lvlText w:val="o"/>
        <w:lvlJc w:val="left"/>
        <w:pPr>
          <w:ind w:left="123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2">
      <w:lvl w:ilvl="2" w:tplc="94561A8E">
        <w:start w:val="1"/>
        <w:numFmt w:val="bullet"/>
        <w:lvlText w:val="▪"/>
        <w:lvlJc w:val="left"/>
        <w:pPr>
          <w:ind w:left="195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3">
      <w:lvl w:ilvl="3" w:tplc="23F01EE8">
        <w:start w:val="1"/>
        <w:numFmt w:val="bullet"/>
        <w:lvlText w:val="·"/>
        <w:lvlJc w:val="left"/>
        <w:pPr>
          <w:ind w:left="2677" w:hanging="39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4">
      <w:lvl w:ilvl="4" w:tplc="2A382DB0">
        <w:start w:val="1"/>
        <w:numFmt w:val="bullet"/>
        <w:lvlText w:val="o"/>
        <w:lvlJc w:val="left"/>
        <w:pPr>
          <w:ind w:left="339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5">
      <w:lvl w:ilvl="5" w:tplc="046866C4">
        <w:start w:val="1"/>
        <w:numFmt w:val="bullet"/>
        <w:lvlText w:val="▪"/>
        <w:lvlJc w:val="left"/>
        <w:pPr>
          <w:ind w:left="411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6">
      <w:lvl w:ilvl="6" w:tplc="DE0E7C66">
        <w:start w:val="1"/>
        <w:numFmt w:val="bullet"/>
        <w:lvlText w:val="·"/>
        <w:lvlJc w:val="left"/>
        <w:pPr>
          <w:ind w:left="4837" w:hanging="397"/>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7">
      <w:lvl w:ilvl="7" w:tplc="B572582A">
        <w:start w:val="1"/>
        <w:numFmt w:val="bullet"/>
        <w:lvlText w:val="o"/>
        <w:lvlJc w:val="left"/>
        <w:pPr>
          <w:ind w:left="555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lvlOverride w:ilvl="8">
      <w:lvl w:ilvl="8" w:tplc="CD9ED1DA">
        <w:start w:val="1"/>
        <w:numFmt w:val="bullet"/>
        <w:lvlText w:val="▪"/>
        <w:lvlJc w:val="left"/>
        <w:pPr>
          <w:ind w:left="6277" w:hanging="397"/>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sz w:val="16"/>
          <w:szCs w:val="16"/>
          <w:highlight w:val="none"/>
          <w:vertAlign w:val="baseline"/>
        </w:rPr>
      </w:lvl>
    </w:lvlOverride>
  </w:num>
  <w:num w:numId="38">
    <w:abstractNumId w:val="5"/>
    <w:lvlOverride w:ilvl="0">
      <w:lvl w:ilvl="0" w:tplc="6BF4D8EA">
        <w:start w:val="1"/>
        <w:numFmt w:val="bullet"/>
        <w:lvlText w:val="·"/>
        <w:lvlJc w:val="left"/>
        <w:pPr>
          <w:ind w:left="567" w:hanging="44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1">
      <w:lvl w:ilvl="1" w:tplc="18B2BD88">
        <w:start w:val="1"/>
        <w:numFmt w:val="bullet"/>
        <w:lvlText w:val="o"/>
        <w:lvlJc w:val="left"/>
        <w:pPr>
          <w:ind w:left="128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2">
      <w:lvl w:ilvl="2" w:tplc="94561A8E">
        <w:start w:val="1"/>
        <w:numFmt w:val="bullet"/>
        <w:lvlText w:val="▪"/>
        <w:lvlJc w:val="left"/>
        <w:pPr>
          <w:ind w:left="200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3">
      <w:lvl w:ilvl="3" w:tplc="23F01EE8">
        <w:start w:val="1"/>
        <w:numFmt w:val="bullet"/>
        <w:lvlText w:val="·"/>
        <w:lvlJc w:val="left"/>
        <w:pPr>
          <w:ind w:left="2727" w:hanging="44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4">
      <w:lvl w:ilvl="4" w:tplc="2A382DB0">
        <w:start w:val="1"/>
        <w:numFmt w:val="bullet"/>
        <w:lvlText w:val="o"/>
        <w:lvlJc w:val="left"/>
        <w:pPr>
          <w:ind w:left="344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5">
      <w:lvl w:ilvl="5" w:tplc="046866C4">
        <w:start w:val="1"/>
        <w:numFmt w:val="bullet"/>
        <w:lvlText w:val="▪"/>
        <w:lvlJc w:val="left"/>
        <w:pPr>
          <w:ind w:left="416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6">
      <w:lvl w:ilvl="6" w:tplc="DE0E7C66">
        <w:start w:val="1"/>
        <w:numFmt w:val="bullet"/>
        <w:lvlText w:val="·"/>
        <w:lvlJc w:val="left"/>
        <w:pPr>
          <w:ind w:left="4887" w:hanging="445"/>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7">
      <w:lvl w:ilvl="7" w:tplc="B572582A">
        <w:start w:val="1"/>
        <w:numFmt w:val="bullet"/>
        <w:lvlText w:val="o"/>
        <w:lvlJc w:val="left"/>
        <w:pPr>
          <w:ind w:left="560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8">
      <w:lvl w:ilvl="8" w:tplc="CD9ED1DA">
        <w:start w:val="1"/>
        <w:numFmt w:val="bullet"/>
        <w:lvlText w:val="▪"/>
        <w:lvlJc w:val="left"/>
        <w:pPr>
          <w:ind w:left="6327" w:hanging="445"/>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num>
  <w:num w:numId="39">
    <w:abstractNumId w:val="25"/>
  </w:num>
  <w:num w:numId="40">
    <w:abstractNumId w:val="12"/>
  </w:num>
  <w:num w:numId="41">
    <w:abstractNumId w:val="2"/>
  </w:num>
  <w:num w:numId="42">
    <w:abstractNumId w:val="9"/>
  </w:num>
  <w:num w:numId="43">
    <w:abstractNumId w:val="12"/>
    <w:lvlOverride w:ilvl="0">
      <w:lvl w:ilvl="0" w:tplc="2E62B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1">
      <w:lvl w:ilvl="1" w:tplc="0BEA8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2">
      <w:lvl w:ilvl="2" w:tplc="3B242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3">
      <w:lvl w:ilvl="3" w:tplc="68D2DF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4">
      <w:lvl w:ilvl="4" w:tplc="508C82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5">
      <w:lvl w:ilvl="5" w:tplc="A43C3E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6">
      <w:lvl w:ilvl="6" w:tplc="B2645E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7">
      <w:lvl w:ilvl="7" w:tplc="2DA8F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8">
      <w:lvl w:ilvl="8" w:tplc="D6E803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PT"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nl-NL"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5A5C"/>
    <w:rsid w:val="002366A8"/>
    <w:rsid w:val="004D59E2"/>
    <w:rsid w:val="007C020C"/>
    <w:rsid w:val="00855A5C"/>
    <w:rsid w:val="00893C99"/>
    <w:rsid w:val="008D7830"/>
    <w:rsid w:val="00973C25"/>
    <w:rsid w:val="009B24B1"/>
    <w:rsid w:val="00B50690"/>
    <w:rsid w:val="00BA134B"/>
    <w:rsid w:val="00C604F6"/>
    <w:rsid w:val="00C60A9E"/>
    <w:rsid w:val="00C73725"/>
    <w:rsid w:val="00DE3AA2"/>
    <w:rsid w:val="00E26546"/>
    <w:rsid w:val="00E6797C"/>
    <w:rsid w:val="00EB4160"/>
    <w:rsid w:val="00F37A74"/>
    <w:rsid w:val="00F70370"/>
    <w:rsid w:val="00F8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B2F9"/>
  <w15:docId w15:val="{8FCBFA75-3FEB-40E8-ADAC-E3699E8E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Text3"/>
    <w:pPr>
      <w:widowControl w:val="0"/>
      <w:spacing w:after="200"/>
      <w:jc w:val="both"/>
      <w:outlineLvl w:val="2"/>
    </w:pPr>
    <w:rPr>
      <w:rFonts w:ascii="Verdana" w:eastAsia="Verdana" w:hAnsi="Verdana" w:cs="Verdana"/>
      <w:i/>
      <w:iCs/>
      <w:color w:val="A50021"/>
      <w:u w:val="single" w:color="A50021"/>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jc w:val="both"/>
    </w:pPr>
    <w:rPr>
      <w:rFonts w:ascii="Verdana" w:hAnsi="Verdana" w:cs="Arial Unicode MS"/>
      <w:color w:val="000000"/>
      <w:u w:color="000000"/>
      <w:lang w:val="en-US"/>
      <w14:textOutline w14:w="0" w14:cap="flat" w14:cmpd="sng" w14:algn="ctr">
        <w14:noFill/>
        <w14:prstDash w14:val="solid"/>
        <w14:bevel/>
      </w14:textOutline>
    </w:rPr>
  </w:style>
  <w:style w:type="paragraph" w:styleId="Footer">
    <w:name w:val="footer"/>
    <w:rPr>
      <w:rFonts w:ascii="Arial" w:eastAsia="Arial" w:hAnsi="Arial" w:cs="Arial"/>
      <w:color w:val="000000"/>
      <w:sz w:val="16"/>
      <w:szCs w:val="16"/>
      <w:u w:color="000000"/>
      <w:lang w:val="en-US"/>
    </w:rPr>
  </w:style>
  <w:style w:type="paragraph" w:styleId="Header">
    <w:name w:val="header"/>
    <w:pPr>
      <w:tabs>
        <w:tab w:val="center" w:pos="4153"/>
        <w:tab w:val="right" w:pos="8306"/>
      </w:tabs>
      <w:spacing w:after="200"/>
      <w:jc w:val="both"/>
    </w:pPr>
    <w:rPr>
      <w:rFonts w:ascii="Verdana" w:eastAsia="Verdana" w:hAnsi="Verdana" w:cs="Verdana"/>
      <w:color w:val="000000"/>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
    <w:name w:val="Body Text"/>
    <w:pPr>
      <w:spacing w:after="120"/>
      <w:jc w:val="both"/>
    </w:pPr>
    <w:rPr>
      <w:rFonts w:ascii="Verdana" w:eastAsia="Verdana" w:hAnsi="Verdana" w:cs="Verdana"/>
      <w:color w:val="000000"/>
      <w:u w:color="000000"/>
      <w:lang w:val="en-US"/>
    </w:rPr>
  </w:style>
  <w:style w:type="paragraph" w:styleId="TOC1">
    <w:name w:val="toc 1"/>
    <w:uiPriority w:val="39"/>
    <w:pPr>
      <w:tabs>
        <w:tab w:val="right" w:leader="dot" w:pos="8640"/>
      </w:tabs>
      <w:spacing w:before="60" w:after="60"/>
      <w:ind w:left="482" w:hanging="482"/>
      <w:jc w:val="both"/>
    </w:pPr>
    <w:rPr>
      <w:rFonts w:ascii="Verdana" w:eastAsia="Verdana" w:hAnsi="Verdana" w:cs="Verdana"/>
      <w:color w:val="000000"/>
      <w:sz w:val="16"/>
      <w:szCs w:val="16"/>
      <w:u w:color="000000"/>
      <w:lang w:val="en-US"/>
    </w:rPr>
  </w:style>
  <w:style w:type="paragraph" w:customStyle="1" w:styleId="Heading">
    <w:name w:val="Heading"/>
    <w:next w:val="Text1"/>
    <w:pPr>
      <w:widowControl w:val="0"/>
      <w:spacing w:after="200"/>
      <w:jc w:val="both"/>
      <w:outlineLvl w:val="0"/>
    </w:pPr>
    <w:rPr>
      <w:rFonts w:ascii="Verdana" w:eastAsia="Verdana" w:hAnsi="Verdana" w:cs="Verdana"/>
      <w:b/>
      <w:bCs/>
      <w:color w:val="A50021"/>
      <w:u w:color="A50021"/>
      <w14:textOutline w14:w="0" w14:cap="flat" w14:cmpd="sng" w14:algn="ctr">
        <w14:noFill/>
        <w14:prstDash w14:val="solid"/>
        <w14:bevel/>
      </w14:textOutline>
    </w:rPr>
  </w:style>
  <w:style w:type="paragraph" w:customStyle="1" w:styleId="Text1">
    <w:name w:val="Text 1"/>
    <w:pPr>
      <w:tabs>
        <w:tab w:val="left" w:pos="2160"/>
      </w:tabs>
      <w:spacing w:after="200"/>
      <w:ind w:left="1440"/>
      <w:jc w:val="both"/>
    </w:pPr>
    <w:rPr>
      <w:rFonts w:ascii="Verdana" w:eastAsia="Verdana" w:hAnsi="Verdana" w:cs="Verdana"/>
      <w:color w:val="000000"/>
      <w:u w:color="000000"/>
      <w:lang w:val="en-US"/>
    </w:rPr>
  </w:style>
  <w:style w:type="paragraph" w:styleId="TOC2">
    <w:name w:val="toc 2"/>
    <w:pPr>
      <w:tabs>
        <w:tab w:val="right" w:leader="dot" w:pos="8640"/>
      </w:tabs>
      <w:spacing w:before="60" w:after="60"/>
      <w:ind w:left="568" w:hanging="284"/>
      <w:jc w:val="both"/>
    </w:pPr>
    <w:rPr>
      <w:rFonts w:ascii="Verdana" w:eastAsia="Verdana" w:hAnsi="Verdana" w:cs="Verdana"/>
      <w:color w:val="000000"/>
      <w:sz w:val="16"/>
      <w:szCs w:val="16"/>
      <w:u w:color="000000"/>
    </w:rPr>
  </w:style>
  <w:style w:type="paragraph" w:customStyle="1" w:styleId="Text3">
    <w:name w:val="Text 3"/>
    <w:pPr>
      <w:tabs>
        <w:tab w:val="left" w:pos="2160"/>
      </w:tabs>
      <w:spacing w:after="200"/>
      <w:ind w:left="1440"/>
      <w:jc w:val="both"/>
    </w:pPr>
    <w:rPr>
      <w:rFonts w:ascii="Verdana" w:eastAsia="Verdana" w:hAnsi="Verdana" w:cs="Verdana"/>
      <w:color w:val="000000"/>
      <w:u w:color="000000"/>
      <w:lang w:val="en-US"/>
    </w:rPr>
  </w:style>
  <w:style w:type="numbering" w:customStyle="1" w:styleId="ImportedStyle4">
    <w:name w:val="Imported Style 4"/>
    <w:pPr>
      <w:numPr>
        <w:numId w:val="2"/>
      </w:numPr>
    </w:pPr>
  </w:style>
  <w:style w:type="character" w:customStyle="1" w:styleId="Link">
    <w:name w:val="Link"/>
    <w:rPr>
      <w:outline w:val="0"/>
      <w:color w:val="0088CC"/>
      <w:u w:val="single" w:color="0088CC"/>
    </w:rPr>
  </w:style>
  <w:style w:type="character" w:customStyle="1" w:styleId="Hyperlink0">
    <w:name w:val="Hyperlink.0"/>
    <w:basedOn w:val="Link"/>
    <w:rPr>
      <w:outline w:val="0"/>
      <w:color w:val="0088CC"/>
      <w:u w:val="single" w:color="0088CC"/>
      <w:lang w:val="en-US"/>
    </w:rPr>
  </w:style>
  <w:style w:type="paragraph" w:styleId="FootnoteText">
    <w:name w:val="footnote text"/>
    <w:pPr>
      <w:spacing w:after="200"/>
      <w:ind w:left="357" w:hanging="357"/>
      <w:jc w:val="both"/>
    </w:pPr>
    <w:rPr>
      <w:rFonts w:ascii="Verdana" w:eastAsia="Verdana" w:hAnsi="Verdana" w:cs="Verdana"/>
      <w:color w:val="000000"/>
      <w:u w:color="000000"/>
      <w:lang w:val="en-US"/>
    </w:rPr>
  </w:style>
  <w:style w:type="numbering" w:customStyle="1" w:styleId="ImportedStyle5">
    <w:name w:val="Imported Style 5"/>
    <w:pPr>
      <w:numPr>
        <w:numId w:val="4"/>
      </w:numPr>
    </w:pPr>
  </w:style>
  <w:style w:type="paragraph" w:customStyle="1" w:styleId="BodyA">
    <w:name w:val="Body A"/>
    <w:pPr>
      <w:spacing w:after="200"/>
      <w:jc w:val="both"/>
    </w:pPr>
    <w:rPr>
      <w:rFonts w:ascii="Verdana" w:hAnsi="Verdana" w:cs="Arial Unicode MS"/>
      <w:color w:val="000000"/>
      <w:u w:color="000000"/>
      <w:lang w:val="fr-FR"/>
    </w:rPr>
  </w:style>
  <w:style w:type="paragraph" w:styleId="ListParagraph">
    <w:name w:val="List Paragraph"/>
    <w:pPr>
      <w:ind w:left="720"/>
    </w:pPr>
    <w:rPr>
      <w:rFonts w:ascii="Verdana" w:hAnsi="Verdana" w:cs="Arial Unicode MS"/>
      <w:color w:val="000000"/>
      <w:sz w:val="24"/>
      <w:szCs w:val="24"/>
      <w:u w:color="000000"/>
      <w:lang w:val="en-US"/>
    </w:rPr>
  </w:style>
  <w:style w:type="numbering" w:customStyle="1" w:styleId="ImportedStyle6">
    <w:name w:val="Imported Style 6"/>
    <w:pPr>
      <w:numPr>
        <w:numId w:val="6"/>
      </w:numPr>
    </w:pPr>
  </w:style>
  <w:style w:type="paragraph" w:customStyle="1" w:styleId="Default">
    <w:name w:val="Default"/>
    <w:pPr>
      <w:spacing w:after="200"/>
      <w:jc w:val="both"/>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7">
    <w:name w:val="Imported Style 7"/>
    <w:pPr>
      <w:numPr>
        <w:numId w:val="8"/>
      </w:numPr>
    </w:pPr>
  </w:style>
  <w:style w:type="numbering" w:customStyle="1" w:styleId="ImportedStyle8">
    <w:name w:val="Imported Style 8"/>
    <w:pPr>
      <w:numPr>
        <w:numId w:val="11"/>
      </w:numPr>
    </w:pPr>
  </w:style>
  <w:style w:type="numbering" w:customStyle="1" w:styleId="ImportedStyle9">
    <w:name w:val="Imported Style 9"/>
    <w:pPr>
      <w:numPr>
        <w:numId w:val="14"/>
      </w:numPr>
    </w:pPr>
  </w:style>
  <w:style w:type="character" w:customStyle="1" w:styleId="None">
    <w:name w:val="None"/>
  </w:style>
  <w:style w:type="character" w:customStyle="1" w:styleId="Hyperlink1">
    <w:name w:val="Hyperlink.1"/>
    <w:basedOn w:val="None"/>
    <w:rPr>
      <w:outline w:val="0"/>
      <w:color w:val="0088CC"/>
      <w:sz w:val="16"/>
      <w:szCs w:val="16"/>
      <w:u w:val="single" w:color="0088CC"/>
    </w:r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character" w:customStyle="1" w:styleId="Hyperlink2">
    <w:name w:val="Hyperlink.2"/>
    <w:basedOn w:val="None"/>
    <w:rPr>
      <w:outline w:val="0"/>
      <w:color w:val="0088CC"/>
      <w:sz w:val="16"/>
      <w:szCs w:val="16"/>
      <w:u w:val="single" w:color="0088CC"/>
      <w:lang w:val="en-US"/>
    </w:r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character" w:customStyle="1" w:styleId="Hyperlink3">
    <w:name w:val="Hyperlink.3"/>
    <w:basedOn w:val="Link"/>
    <w:rPr>
      <w:outline w:val="0"/>
      <w:color w:val="0088CC"/>
      <w:sz w:val="16"/>
      <w:szCs w:val="16"/>
      <w:u w:val="single" w:color="0088CC"/>
    </w:rPr>
  </w:style>
  <w:style w:type="paragraph" w:customStyle="1" w:styleId="Text2">
    <w:name w:val="Text 2"/>
    <w:pPr>
      <w:tabs>
        <w:tab w:val="left" w:pos="2160"/>
      </w:tabs>
      <w:spacing w:after="200"/>
      <w:ind w:left="1440"/>
      <w:jc w:val="both"/>
    </w:pPr>
    <w:rPr>
      <w:rFonts w:ascii="Verdana" w:hAnsi="Verdana" w:cs="Arial Unicode MS"/>
      <w:color w:val="000000"/>
      <w:u w:color="000000"/>
      <w:lang w:val="en-US"/>
    </w:r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5"/>
      </w:numPr>
    </w:pPr>
  </w:style>
  <w:style w:type="character" w:customStyle="1" w:styleId="Hyperlink4">
    <w:name w:val="Hyperlink.4"/>
    <w:basedOn w:val="Link"/>
    <w:rPr>
      <w:rFonts w:ascii="Verdana" w:eastAsia="Verdana" w:hAnsi="Verdana" w:cs="Verdana"/>
      <w:i/>
      <w:iCs/>
      <w:outline w:val="0"/>
      <w:color w:val="0088CC"/>
      <w:u w:val="single" w:color="0088CC"/>
    </w:rPr>
  </w:style>
  <w:style w:type="numbering" w:customStyle="1" w:styleId="ImportedStyle19">
    <w:name w:val="Imported Style 19"/>
    <w:pPr>
      <w:numPr>
        <w:numId w:val="39"/>
      </w:numPr>
    </w:pPr>
  </w:style>
  <w:style w:type="character" w:customStyle="1" w:styleId="Hyperlink5">
    <w:name w:val="Hyperlink.5"/>
    <w:basedOn w:val="None"/>
    <w:rPr>
      <w:outline w:val="0"/>
      <w:color w:val="0088CC"/>
      <w:u w:val="single" w:color="0088CC"/>
    </w:rPr>
  </w:style>
  <w:style w:type="numbering" w:customStyle="1" w:styleId="ImportedStyle20">
    <w:name w:val="Imported Style 20"/>
    <w:pPr>
      <w:numPr>
        <w:numId w:val="41"/>
      </w:numPr>
    </w:pPr>
  </w:style>
  <w:style w:type="character" w:customStyle="1" w:styleId="Hyperlink6">
    <w:name w:val="Hyperlink.6"/>
    <w:basedOn w:val="Link"/>
    <w:rPr>
      <w:rFonts w:ascii="Calibri" w:eastAsia="Calibri" w:hAnsi="Calibri" w:cs="Calibri"/>
      <w:outline w:val="0"/>
      <w:color w:val="0088CC"/>
      <w:sz w:val="24"/>
      <w:szCs w:val="24"/>
      <w:u w:val="single" w:color="0088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9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50690"/>
    <w:rPr>
      <w:b/>
      <w:bCs/>
    </w:rPr>
  </w:style>
  <w:style w:type="character" w:customStyle="1" w:styleId="CommentSubjectChar">
    <w:name w:val="Comment Subject Char"/>
    <w:basedOn w:val="CommentTextChar"/>
    <w:link w:val="CommentSubject"/>
    <w:uiPriority w:val="99"/>
    <w:semiHidden/>
    <w:rsid w:val="00B5069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transport.ec.europa.eu/document/download/8a8d5a98-6802-4507-acda-8cf140cb17a7_en?filename=c20215763-cef-financing-annex.pdf" TargetMode="External"/><Relationship Id="rId26" Type="http://schemas.openxmlformats.org/officeDocument/2006/relationships/hyperlink" Target="https://transport.ec.europa.eu/facts-fundings/grants-calls-proposals-field-transport_en?f%255B0%255D=oe_call_proposals_status:past" TargetMode="External"/><Relationship Id="rId3" Type="http://schemas.openxmlformats.org/officeDocument/2006/relationships/styles" Target="styles.xml"/><Relationship Id="rId21" Type="http://schemas.openxmlformats.org/officeDocument/2006/relationships/hyperlink" Target="mailto:MOVE-TENDER-C2@ec.europa.e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N/ALL/?uri=uriserv:OJ.L_.2021.249.01.0038.01.ENG" TargetMode="External"/><Relationship Id="rId25" Type="http://schemas.openxmlformats.org/officeDocument/2006/relationships/hyperlink" Target="https://ec.europa.eu/budget/fts/index_en.htm" TargetMode="External"/><Relationship Id="rId2" Type="http://schemas.openxmlformats.org/officeDocument/2006/relationships/numbering" Target="numbering.xml"/><Relationship Id="rId16" Type="http://schemas.openxmlformats.org/officeDocument/2006/relationships/hyperlink" Target="https://eur-lex.europa.eu/legal-content/EN/ALL/?uri=CELEX:32018R1046&amp;qid=1535046024012"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EN/ALL/?uri=CELEX:32018R1046&amp;qid=1535046024012"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c.europa.eu/info/funding-tenders/opportunities/docs/2021-2027/common/guidance/aga_en.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ur-lex.europa.eu/legal-content/EN/ALL/?uri=CELEX:31995R2988&amp;qid=150159862251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unit-cost-decision-sme-owners-natural-persons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funding-tenders/opportunities/docs/2021-2027/common/guidance/unit-cost-decision-travel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CD41D4-FFD2-4437-998C-2898B09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5917</Words>
  <Characters>32786</Characters>
  <Application>Microsoft Office Word</Application>
  <DocSecurity>0</DocSecurity>
  <Lines>745</Lines>
  <Paragraphs>434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BARDONE Laura (ECFIN)</dc:creator>
  <cp:lastModifiedBy>WHITTEN Peter (MOVE)</cp:lastModifiedBy>
  <cp:revision>2</cp:revision>
  <dcterms:created xsi:type="dcterms:W3CDTF">2022-08-08T16:11:00Z</dcterms:created>
  <dcterms:modified xsi:type="dcterms:W3CDTF">2022-08-08T16:11:00Z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2022-08-08T15:05:17Z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9446436e-32ce-445c-9e07-7aa47c2de9aa</vt:lpwstr>
  </property>
  <property fmtid="{D5CDD505-2E9C-101B-9397-08002B2CF9AE}" pid="8" name="MSIP_Label_6bd9ddd1-4d20-43f6-abfa-fc3c07406f94_ContentBits">
    <vt:lpwstr>0</vt:lpwstr>
  </property>
</Properties>
</file>